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Default Extension="emf" ContentType="image/x-emf"/>
  <Default Extension="vsd" ContentType="application/vnd.visi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29D53F" w14:textId="06BAC2BE" w:rsidR="00D70B55" w:rsidRPr="00CE0424" w:rsidRDefault="00D70B55" w:rsidP="00D70B55">
      <w:pPr>
        <w:pStyle w:val="3GPPHeader"/>
        <w:spacing w:after="60"/>
        <w:rPr>
          <w:sz w:val="32"/>
          <w:szCs w:val="32"/>
          <w:highlight w:val="yellow"/>
        </w:rPr>
      </w:pPr>
      <w:bookmarkStart w:id="0" w:name="_GoBack"/>
      <w:bookmarkEnd w:id="0"/>
      <w:r w:rsidRPr="00CE0424">
        <w:t>3GPP TSG-RAN WG</w:t>
      </w:r>
      <w:r>
        <w:t>2</w:t>
      </w:r>
      <w:r w:rsidRPr="00CE0424">
        <w:t xml:space="preserve"> #</w:t>
      </w:r>
      <w:r>
        <w:t>90</w:t>
      </w:r>
      <w:r w:rsidRPr="00CE0424">
        <w:tab/>
      </w:r>
      <w:r w:rsidRPr="00CE0424">
        <w:rPr>
          <w:sz w:val="32"/>
          <w:szCs w:val="32"/>
        </w:rPr>
        <w:t>Tdoc R2-1</w:t>
      </w:r>
      <w:r>
        <w:rPr>
          <w:sz w:val="32"/>
          <w:szCs w:val="32"/>
        </w:rPr>
        <w:t>5</w:t>
      </w:r>
      <w:r w:rsidR="00656207" w:rsidRPr="00656207">
        <w:rPr>
          <w:sz w:val="32"/>
          <w:szCs w:val="32"/>
          <w:lang w:val="en-US"/>
        </w:rPr>
        <w:t>2451</w:t>
      </w:r>
    </w:p>
    <w:p w14:paraId="5FE6867C" w14:textId="77777777" w:rsidR="00D70B55" w:rsidRPr="00EF3C81" w:rsidRDefault="00D70B55" w:rsidP="00D70B55">
      <w:pPr>
        <w:pStyle w:val="3GPPHeader"/>
      </w:pPr>
      <w:r>
        <w:t>Fukuoka, Japan</w:t>
      </w:r>
      <w:r w:rsidRPr="00EF3C81">
        <w:t xml:space="preserve">, </w:t>
      </w:r>
      <w:r>
        <w:t xml:space="preserve">25–29 May </w:t>
      </w:r>
      <w:r w:rsidRPr="00EF3C81">
        <w:t>201</w:t>
      </w:r>
      <w:r>
        <w:t>5</w:t>
      </w:r>
    </w:p>
    <w:p w14:paraId="29C23085" w14:textId="77777777" w:rsidR="00D70B55" w:rsidRPr="00CE0424" w:rsidRDefault="00D70B55" w:rsidP="00D70B55">
      <w:pPr>
        <w:pStyle w:val="3GPPHeader"/>
      </w:pPr>
    </w:p>
    <w:p w14:paraId="19CC2EA4" w14:textId="45CDB2DD" w:rsidR="00D70B55" w:rsidRPr="00EA31E4" w:rsidRDefault="00D70B55" w:rsidP="00D70B55">
      <w:pPr>
        <w:pStyle w:val="3GPPHeader"/>
        <w:rPr>
          <w:sz w:val="22"/>
          <w:szCs w:val="22"/>
          <w:lang w:val="en-US"/>
        </w:rPr>
      </w:pPr>
      <w:r w:rsidRPr="00EA31E4">
        <w:rPr>
          <w:sz w:val="22"/>
          <w:szCs w:val="22"/>
          <w:lang w:val="en-US"/>
        </w:rPr>
        <w:t>Agenda Item:</w:t>
      </w:r>
      <w:r w:rsidRPr="00EA31E4">
        <w:rPr>
          <w:sz w:val="22"/>
          <w:szCs w:val="22"/>
          <w:lang w:val="en-US"/>
        </w:rPr>
        <w:tab/>
      </w:r>
      <w:r w:rsidR="00656207" w:rsidRPr="00EA31E4">
        <w:rPr>
          <w:sz w:val="22"/>
          <w:szCs w:val="22"/>
          <w:lang w:val="en-US"/>
        </w:rPr>
        <w:t>7.11</w:t>
      </w:r>
    </w:p>
    <w:p w14:paraId="492618A1" w14:textId="77777777" w:rsidR="00D70B55" w:rsidRPr="00CE0424" w:rsidRDefault="00D70B55" w:rsidP="00D70B55">
      <w:pPr>
        <w:pStyle w:val="3GPPHeader"/>
        <w:rPr>
          <w:sz w:val="22"/>
          <w:szCs w:val="22"/>
        </w:rPr>
      </w:pPr>
      <w:r>
        <w:rPr>
          <w:sz w:val="22"/>
          <w:szCs w:val="22"/>
        </w:rPr>
        <w:t>Source:</w:t>
      </w:r>
      <w:r w:rsidRPr="00CE0424">
        <w:rPr>
          <w:sz w:val="22"/>
          <w:szCs w:val="22"/>
        </w:rPr>
        <w:tab/>
        <w:t>Ericsson</w:t>
      </w:r>
    </w:p>
    <w:p w14:paraId="558BA42A" w14:textId="77777777" w:rsidR="00D70B55" w:rsidRPr="00CE0424" w:rsidRDefault="00D70B55" w:rsidP="00D70B55">
      <w:pPr>
        <w:pStyle w:val="3GPPHeader"/>
        <w:rPr>
          <w:sz w:val="22"/>
          <w:szCs w:val="22"/>
        </w:rPr>
      </w:pPr>
      <w:r>
        <w:rPr>
          <w:sz w:val="22"/>
          <w:szCs w:val="22"/>
        </w:rPr>
        <w:t>Title:</w:t>
      </w:r>
      <w:r w:rsidRPr="00CE0424">
        <w:rPr>
          <w:sz w:val="22"/>
          <w:szCs w:val="22"/>
        </w:rPr>
        <w:tab/>
      </w:r>
      <w:r>
        <w:rPr>
          <w:sz w:val="22"/>
          <w:szCs w:val="22"/>
        </w:rPr>
        <w:t>Use cases in latency reduction</w:t>
      </w:r>
    </w:p>
    <w:p w14:paraId="6925CAA1" w14:textId="77777777" w:rsidR="00D70B55" w:rsidRPr="00070FBD" w:rsidRDefault="00D70B55" w:rsidP="00D70B55">
      <w:pPr>
        <w:pStyle w:val="3GPPHeader"/>
        <w:rPr>
          <w:sz w:val="22"/>
          <w:szCs w:val="22"/>
        </w:rPr>
      </w:pPr>
      <w:r w:rsidRPr="00CE0424">
        <w:rPr>
          <w:sz w:val="22"/>
          <w:szCs w:val="22"/>
        </w:rPr>
        <w:t>Document for:</w:t>
      </w:r>
      <w:r w:rsidRPr="00CE0424">
        <w:rPr>
          <w:sz w:val="22"/>
          <w:szCs w:val="22"/>
        </w:rPr>
        <w:tab/>
      </w:r>
      <w:r w:rsidRPr="00656207">
        <w:rPr>
          <w:sz w:val="22"/>
          <w:szCs w:val="22"/>
        </w:rPr>
        <w:t>Discussion, Decision</w:t>
      </w:r>
    </w:p>
    <w:p w14:paraId="69DB677D" w14:textId="77777777" w:rsidR="00D70B55" w:rsidRDefault="00D70B55" w:rsidP="00D70B55">
      <w:pPr>
        <w:pStyle w:val="Heading1"/>
      </w:pPr>
      <w:r>
        <w:t xml:space="preserve"> Introduction</w:t>
      </w:r>
    </w:p>
    <w:p w14:paraId="211E20EC" w14:textId="77777777" w:rsidR="00D70B55" w:rsidRDefault="00D70B55" w:rsidP="00D70B55">
      <w:r w:rsidRPr="00A14603">
        <w:t>The study item</w:t>
      </w:r>
      <w:r>
        <w:t xml:space="preserve"> (SI)</w:t>
      </w:r>
      <w:r w:rsidRPr="00A14603">
        <w:t xml:space="preserve"> “Study on Latency reduction techniques for LTE” has been approved for Rel-1</w:t>
      </w:r>
      <w:r>
        <w:t xml:space="preserve">3 </w:t>
      </w:r>
      <w:r>
        <w:fldChar w:fldCharType="begin"/>
      </w:r>
      <w:r>
        <w:instrText xml:space="preserve"> REF _Ref419119662 \r \h </w:instrText>
      </w:r>
      <w:r>
        <w:fldChar w:fldCharType="separate"/>
      </w:r>
      <w:r>
        <w:t>[1]</w:t>
      </w:r>
      <w:r>
        <w:fldChar w:fldCharType="end"/>
      </w:r>
      <w:r w:rsidRPr="00A14603">
        <w:t xml:space="preserve">. The purpose of the </w:t>
      </w:r>
      <w:r>
        <w:t xml:space="preserve">SI </w:t>
      </w:r>
      <w:r w:rsidRPr="00A14603">
        <w:t xml:space="preserve">is </w:t>
      </w:r>
      <w:r>
        <w:t xml:space="preserve">to study and improve the packet data latencies within the Rel-13 timeframe. </w:t>
      </w:r>
    </w:p>
    <w:p w14:paraId="1BE1B08A" w14:textId="77777777" w:rsidR="00D70B55" w:rsidRDefault="00D70B55" w:rsidP="00D70B55">
      <w:r>
        <w:t xml:space="preserve">Latency reduction studies, to be carried out in the SI, need to ensure </w:t>
      </w:r>
      <w:r w:rsidR="00364BEA">
        <w:t>a</w:t>
      </w:r>
      <w:r>
        <w:t xml:space="preserve"> future</w:t>
      </w:r>
      <w:r w:rsidR="008308E8">
        <w:t>-</w:t>
      </w:r>
      <w:r w:rsidR="000917C2">
        <w:t>proof</w:t>
      </w:r>
      <w:r>
        <w:t xml:space="preserve"> LTE evolution. Therefore, it is of utmost importance to initially identify all the essential use cases that can benefit from improved latencies. Furthermore, the relevant </w:t>
      </w:r>
      <w:r w:rsidR="008308E8">
        <w:t>implications</w:t>
      </w:r>
      <w:r>
        <w:t xml:space="preserve"> to each use case such as cost, complexity, energy-consumption and signalling overhead, have to be addressed in addition to the relevant metrics on latency, </w:t>
      </w:r>
      <w:r w:rsidR="008308E8">
        <w:t>reliability</w:t>
      </w:r>
      <w:r>
        <w:t xml:space="preserve"> and </w:t>
      </w:r>
      <w:r w:rsidR="008308E8">
        <w:t>coverage/</w:t>
      </w:r>
      <w:r>
        <w:t>capacity improvements.</w:t>
      </w:r>
    </w:p>
    <w:p w14:paraId="3C3E5774" w14:textId="77777777" w:rsidR="00D70B55" w:rsidRDefault="00D70B55" w:rsidP="00D70B55">
      <w:pPr>
        <w:pStyle w:val="Heading1"/>
      </w:pPr>
      <w:r>
        <w:t>Discussion</w:t>
      </w:r>
    </w:p>
    <w:p w14:paraId="3EADD542" w14:textId="77777777" w:rsidR="00D70B55" w:rsidRDefault="00D70B55" w:rsidP="00D70B55">
      <w:pPr>
        <w:pStyle w:val="Heading2"/>
      </w:pPr>
      <w:r>
        <w:t>Use cases</w:t>
      </w:r>
    </w:p>
    <w:p w14:paraId="2DDB0FD5" w14:textId="77777777" w:rsidR="00D70B55" w:rsidRDefault="00D70B55" w:rsidP="00D70B55">
      <w:r>
        <w:t>There will be a number of existing and new applications that will benefit from or even require reduced latencies. These applications can be exemplified under three identified use cases ranging from web applications to mission-critical communication applications</w:t>
      </w:r>
      <w:r w:rsidR="007160DF">
        <w:t xml:space="preserve"> as illustrated in Figure 1</w:t>
      </w:r>
      <w:r>
        <w:t>.</w:t>
      </w:r>
    </w:p>
    <w:p w14:paraId="47FB2376" w14:textId="77777777" w:rsidR="00D70B55" w:rsidRDefault="00D70B55" w:rsidP="00D70B55">
      <w:pPr>
        <w:jc w:val="center"/>
      </w:pPr>
      <w:r>
        <w:rPr>
          <w:noProof/>
          <w:lang w:val="en-US" w:eastAsia="en-US"/>
        </w:rPr>
        <w:drawing>
          <wp:inline distT="0" distB="0" distL="0" distR="0" wp14:anchorId="53244825" wp14:editId="31F0A3E9">
            <wp:extent cx="4638675" cy="158298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38387" cy="1582886"/>
                    </a:xfrm>
                    <a:prstGeom prst="rect">
                      <a:avLst/>
                    </a:prstGeom>
                    <a:noFill/>
                  </pic:spPr>
                </pic:pic>
              </a:graphicData>
            </a:graphic>
          </wp:inline>
        </w:drawing>
      </w:r>
    </w:p>
    <w:p w14:paraId="088C51D8" w14:textId="77777777" w:rsidR="00D70B55" w:rsidRPr="000C5D0A" w:rsidRDefault="00D70B55" w:rsidP="00D70B55">
      <w:pPr>
        <w:rPr>
          <w:b/>
        </w:rPr>
      </w:pPr>
      <w:r w:rsidRPr="000C5D0A">
        <w:rPr>
          <w:b/>
        </w:rPr>
        <w:t>Figure 1. Use cases to consider in latency reduction studies</w:t>
      </w:r>
      <w:r>
        <w:rPr>
          <w:b/>
        </w:rPr>
        <w:t>: Web application, Real-time application, Mission-critical communication application</w:t>
      </w:r>
    </w:p>
    <w:p w14:paraId="0A2C7522" w14:textId="77777777" w:rsidR="00D70B55" w:rsidRPr="001D61A9" w:rsidRDefault="00D70B55" w:rsidP="00D70B55">
      <w:pPr>
        <w:pStyle w:val="Heading3"/>
      </w:pPr>
      <w:r w:rsidRPr="001D61A9">
        <w:t>Web application</w:t>
      </w:r>
    </w:p>
    <w:p w14:paraId="66964C87" w14:textId="67B69266" w:rsidR="007160DF" w:rsidRDefault="00D70B55" w:rsidP="00D70B55">
      <w:r>
        <w:t xml:space="preserve">HTTP/TCP is the dominating application and transport layer protocol suite used </w:t>
      </w:r>
      <w:r w:rsidR="007160DF">
        <w:t xml:space="preserve">on Internet today </w:t>
      </w:r>
      <w:r>
        <w:t xml:space="preserve">e.g., for web-browsing. According to </w:t>
      </w:r>
      <w:r>
        <w:fldChar w:fldCharType="begin"/>
      </w:r>
      <w:r>
        <w:instrText xml:space="preserve"> REF _Ref419119778 \r \h </w:instrText>
      </w:r>
      <w:r>
        <w:fldChar w:fldCharType="separate"/>
      </w:r>
      <w:r>
        <w:t>[2]</w:t>
      </w:r>
      <w:r>
        <w:fldChar w:fldCharType="end"/>
      </w:r>
      <w:r>
        <w:fldChar w:fldCharType="begin"/>
      </w:r>
      <w:r>
        <w:instrText xml:space="preserve"> REF _Ref418777976 \r \h </w:instrText>
      </w:r>
      <w:r>
        <w:fldChar w:fldCharType="end"/>
      </w:r>
      <w:r>
        <w:t xml:space="preserve">, the typical size of a HTTP based transaction over the </w:t>
      </w:r>
      <w:r w:rsidR="00F5344B">
        <w:t>Internet</w:t>
      </w:r>
      <w:r>
        <w:t xml:space="preserve"> is in the range of a few 10’s of Kbytes up to 1 Mbyte. In this range, the TCP slow start period, </w:t>
      </w:r>
      <w:r w:rsidR="007160DF">
        <w:t xml:space="preserve">which is illustrated in Figure 2, </w:t>
      </w:r>
      <w:r>
        <w:t>depends on the packet data latency,</w:t>
      </w:r>
      <w:r w:rsidR="007160DF">
        <w:t xml:space="preserve"> and thus</w:t>
      </w:r>
      <w:r>
        <w:t xml:space="preserve"> plays a significant role in the total transport period of the packet stream.</w:t>
      </w:r>
      <w:r w:rsidRPr="000A36C3">
        <w:t xml:space="preserve"> </w:t>
      </w:r>
    </w:p>
    <w:p w14:paraId="2F02B335" w14:textId="7BCEC28B" w:rsidR="00D0166D" w:rsidRDefault="00D0166D" w:rsidP="00D0166D">
      <w:r>
        <w:t xml:space="preserve">When all these </w:t>
      </w:r>
      <w:r w:rsidR="00364BEA">
        <w:t xml:space="preserve">reasons </w:t>
      </w:r>
      <w:r>
        <w:t xml:space="preserve">are taken into account, it is essential to consider HTTP/TCP use case in the latency improvement studies so as to analyse the possible gains in the performance metrics of delay and perceived data rate for TCP based data transactions.  </w:t>
      </w:r>
    </w:p>
    <w:p w14:paraId="15A1BBC4" w14:textId="165A0541" w:rsidR="00D0166D" w:rsidRDefault="00D0166D" w:rsidP="00D0166D">
      <w:pPr>
        <w:pStyle w:val="Proposal"/>
        <w:numPr>
          <w:ilvl w:val="0"/>
          <w:numId w:val="25"/>
        </w:numPr>
        <w:tabs>
          <w:tab w:val="clear" w:pos="1304"/>
        </w:tabs>
        <w:ind w:left="1701" w:hanging="1701"/>
      </w:pPr>
      <w:bookmarkStart w:id="1" w:name="_Toc419483746"/>
      <w:bookmarkStart w:id="2" w:name="_Toc419483802"/>
      <w:r>
        <w:lastRenderedPageBreak/>
        <w:t xml:space="preserve">RAN2 should </w:t>
      </w:r>
      <w:r w:rsidR="00FF7755">
        <w:t>consider</w:t>
      </w:r>
      <w:r>
        <w:t xml:space="preserve"> the web application (HTTP/TCP) use case </w:t>
      </w:r>
      <w:r w:rsidR="00FF7755">
        <w:t>and</w:t>
      </w:r>
      <w:r>
        <w:t xml:space="preserve"> analyse the possible gains in the performance metrics of delay and perceived data rate for TCP based data transactions</w:t>
      </w:r>
      <w:r w:rsidRPr="008340BC">
        <w:t>.</w:t>
      </w:r>
      <w:bookmarkEnd w:id="1"/>
      <w:bookmarkEnd w:id="2"/>
      <w:r>
        <w:t xml:space="preserve"> </w:t>
      </w:r>
    </w:p>
    <w:p w14:paraId="78AD1AED" w14:textId="77777777" w:rsidR="007160DF" w:rsidRDefault="007160DF" w:rsidP="00D70B55"/>
    <w:p w14:paraId="23EEF64D" w14:textId="77777777" w:rsidR="007160DF" w:rsidRDefault="007160DF" w:rsidP="007160DF">
      <w:pPr>
        <w:jc w:val="center"/>
        <w:rPr>
          <w:b/>
        </w:rPr>
      </w:pPr>
      <w:r w:rsidRPr="00FC52AB">
        <w:rPr>
          <w:noProof/>
          <w:lang w:val="en-US" w:eastAsia="en-US"/>
        </w:rPr>
        <mc:AlternateContent>
          <mc:Choice Requires="wpg">
            <w:drawing>
              <wp:inline distT="0" distB="0" distL="0" distR="0" wp14:anchorId="77CCEDC5" wp14:editId="0BCA8D64">
                <wp:extent cx="2564250" cy="2316163"/>
                <wp:effectExtent l="0" t="0" r="0" b="46355"/>
                <wp:docPr id="23" name="Group 1"/>
                <wp:cNvGraphicFramePr/>
                <a:graphic xmlns:a="http://schemas.openxmlformats.org/drawingml/2006/main">
                  <a:graphicData uri="http://schemas.microsoft.com/office/word/2010/wordprocessingGroup">
                    <wpg:wgp>
                      <wpg:cNvGrpSpPr/>
                      <wpg:grpSpPr>
                        <a:xfrm>
                          <a:off x="0" y="0"/>
                          <a:ext cx="2564250" cy="2316163"/>
                          <a:chOff x="258734" y="0"/>
                          <a:chExt cx="2564250" cy="2316163"/>
                        </a:xfrm>
                      </wpg:grpSpPr>
                      <wps:wsp>
                        <wps:cNvPr id="24" name="Straight Arrow Connector 24"/>
                        <wps:cNvCnPr/>
                        <wps:spPr bwMode="auto">
                          <a:xfrm>
                            <a:off x="706362" y="347615"/>
                            <a:ext cx="1704686" cy="339678"/>
                          </a:xfrm>
                          <a:prstGeom prst="straightConnector1">
                            <a:avLst/>
                          </a:prstGeom>
                          <a:solidFill>
                            <a:schemeClr val="accent1"/>
                          </a:solidFill>
                          <a:ln w="28575" cap="flat" cmpd="sng" algn="ctr">
                            <a:solidFill>
                              <a:srgbClr val="C00000"/>
                            </a:solidFill>
                            <a:prstDash val="solid"/>
                            <a:round/>
                            <a:headEnd type="none" w="med" len="med"/>
                            <a:tailEnd type="arrow"/>
                          </a:ln>
                          <a:effectLst/>
                        </wps:spPr>
                        <wps:bodyPr/>
                      </wps:wsp>
                      <wps:wsp>
                        <wps:cNvPr id="25" name="Straight Arrow Connector 25"/>
                        <wps:cNvCnPr>
                          <a:cxnSpLocks noChangeShapeType="1"/>
                        </wps:cNvCnPr>
                        <wps:spPr bwMode="auto">
                          <a:xfrm flipH="1">
                            <a:off x="730171" y="788880"/>
                            <a:ext cx="1680885" cy="253965"/>
                          </a:xfrm>
                          <a:prstGeom prst="straightConnector1">
                            <a:avLst/>
                          </a:prstGeom>
                          <a:noFill/>
                          <a:ln w="28575" algn="ctr">
                            <a:solidFill>
                              <a:srgbClr val="00B050"/>
                            </a:solidFill>
                            <a:round/>
                            <a:headEnd/>
                            <a:tailEnd type="arrow" w="med" len="med"/>
                          </a:ln>
                          <a:extLst>
                            <a:ext uri="{909E8E84-426E-40dd-AFC4-6F175D3DCCD1}">
                              <a14:hiddenFill xmlns:a14="http://schemas.microsoft.com/office/drawing/2010/main">
                                <a:noFill/>
                              </a14:hiddenFill>
                            </a:ext>
                          </a:extLst>
                        </wps:spPr>
                        <wps:bodyPr/>
                      </wps:wsp>
                      <wps:wsp>
                        <wps:cNvPr id="26" name="Straight Arrow Connector 26"/>
                        <wps:cNvCnPr/>
                        <wps:spPr bwMode="auto">
                          <a:xfrm>
                            <a:off x="788988" y="1222375"/>
                            <a:ext cx="1622425" cy="255588"/>
                          </a:xfrm>
                          <a:prstGeom prst="straightConnector1">
                            <a:avLst/>
                          </a:prstGeom>
                          <a:solidFill>
                            <a:schemeClr val="accent1"/>
                          </a:solidFill>
                          <a:ln w="28575" cap="flat" cmpd="sng" algn="ctr">
                            <a:solidFill>
                              <a:srgbClr val="C00000"/>
                            </a:solidFill>
                            <a:prstDash val="solid"/>
                            <a:round/>
                            <a:headEnd type="none" w="med" len="med"/>
                            <a:tailEnd type="arrow"/>
                          </a:ln>
                          <a:effectLst/>
                        </wps:spPr>
                        <wps:bodyPr/>
                      </wps:wsp>
                      <wps:wsp>
                        <wps:cNvPr id="28" name="Straight Arrow Connector 28"/>
                        <wps:cNvCnPr/>
                        <wps:spPr bwMode="auto">
                          <a:xfrm>
                            <a:off x="784225" y="1350963"/>
                            <a:ext cx="1622425" cy="254000"/>
                          </a:xfrm>
                          <a:prstGeom prst="straightConnector1">
                            <a:avLst/>
                          </a:prstGeom>
                          <a:solidFill>
                            <a:schemeClr val="accent1"/>
                          </a:solidFill>
                          <a:ln w="28575" cap="flat" cmpd="sng" algn="ctr">
                            <a:solidFill>
                              <a:srgbClr val="C00000"/>
                            </a:solidFill>
                            <a:prstDash val="solid"/>
                            <a:round/>
                            <a:headEnd type="none" w="med" len="med"/>
                            <a:tailEnd type="arrow"/>
                          </a:ln>
                          <a:effectLst/>
                        </wps:spPr>
                        <wps:bodyPr/>
                      </wps:wsp>
                      <wps:wsp>
                        <wps:cNvPr id="31" name="Straight Arrow Connector 31"/>
                        <wps:cNvCnPr>
                          <a:cxnSpLocks noChangeShapeType="1"/>
                        </wps:cNvCnPr>
                        <wps:spPr bwMode="auto">
                          <a:xfrm flipH="1">
                            <a:off x="706438" y="1789113"/>
                            <a:ext cx="1662112" cy="254000"/>
                          </a:xfrm>
                          <a:prstGeom prst="straightConnector1">
                            <a:avLst/>
                          </a:prstGeom>
                          <a:noFill/>
                          <a:ln w="28575" algn="ctr">
                            <a:solidFill>
                              <a:srgbClr val="00B050"/>
                            </a:solidFill>
                            <a:round/>
                            <a:headEnd/>
                            <a:tailEnd type="arrow" w="med" len="med"/>
                          </a:ln>
                          <a:extLst>
                            <a:ext uri="{909E8E84-426E-40dd-AFC4-6F175D3DCCD1}">
                              <a14:hiddenFill xmlns:a14="http://schemas.microsoft.com/office/drawing/2010/main">
                                <a:noFill/>
                              </a14:hiddenFill>
                            </a:ext>
                          </a:extLst>
                        </wps:spPr>
                        <wps:bodyPr/>
                      </wps:wsp>
                      <wps:wsp>
                        <wps:cNvPr id="7264" name="Straight Arrow Connector 7264"/>
                        <wps:cNvCnPr>
                          <a:cxnSpLocks noChangeShapeType="1"/>
                        </wps:cNvCnPr>
                        <wps:spPr bwMode="auto">
                          <a:xfrm flipH="1">
                            <a:off x="730250" y="1916113"/>
                            <a:ext cx="1676400" cy="254000"/>
                          </a:xfrm>
                          <a:prstGeom prst="straightConnector1">
                            <a:avLst/>
                          </a:prstGeom>
                          <a:noFill/>
                          <a:ln w="28575" algn="ctr">
                            <a:solidFill>
                              <a:srgbClr val="00B050"/>
                            </a:solidFill>
                            <a:round/>
                            <a:headEnd/>
                            <a:tailEnd type="arrow" w="med" len="med"/>
                          </a:ln>
                          <a:extLst>
                            <a:ext uri="{909E8E84-426E-40dd-AFC4-6F175D3DCCD1}">
                              <a14:hiddenFill xmlns:a14="http://schemas.microsoft.com/office/drawing/2010/main">
                                <a:noFill/>
                              </a14:hiddenFill>
                            </a:ext>
                          </a:extLst>
                        </wps:spPr>
                        <wps:bodyPr/>
                      </wps:wsp>
                      <wps:wsp>
                        <wps:cNvPr id="7265" name="Straight Connector 7265"/>
                        <wps:cNvCnPr>
                          <a:cxnSpLocks noChangeShapeType="1"/>
                        </wps:cNvCnPr>
                        <wps:spPr bwMode="auto">
                          <a:xfrm>
                            <a:off x="720959" y="211138"/>
                            <a:ext cx="0" cy="2105025"/>
                          </a:xfrm>
                          <a:prstGeom prst="line">
                            <a:avLst/>
                          </a:prstGeom>
                          <a:noFill/>
                          <a:ln w="12700" algn="ctr">
                            <a:solidFill>
                              <a:schemeClr val="tx1"/>
                            </a:solidFill>
                            <a:prstDash val="solid"/>
                            <a:round/>
                            <a:headEnd/>
                            <a:tailEnd/>
                          </a:ln>
                          <a:extLst>
                            <a:ext uri="{909E8E84-426E-40dd-AFC4-6F175D3DCCD1}">
                              <a14:hiddenFill xmlns:a14="http://schemas.microsoft.com/office/drawing/2010/main">
                                <a:noFill/>
                              </a14:hiddenFill>
                            </a:ext>
                          </a:extLst>
                        </wps:spPr>
                        <wps:bodyPr/>
                      </wps:wsp>
                      <wps:wsp>
                        <wps:cNvPr id="7266" name="Straight Connector 7266"/>
                        <wps:cNvCnPr>
                          <a:cxnSpLocks noChangeShapeType="1"/>
                        </wps:cNvCnPr>
                        <wps:spPr bwMode="auto">
                          <a:xfrm>
                            <a:off x="2411421" y="211138"/>
                            <a:ext cx="0" cy="2105025"/>
                          </a:xfrm>
                          <a:prstGeom prst="line">
                            <a:avLst/>
                          </a:prstGeom>
                          <a:noFill/>
                          <a:ln w="12700" algn="ctr">
                            <a:solidFill>
                              <a:schemeClr val="tx1"/>
                            </a:solidFill>
                            <a:prstDash val="solid"/>
                            <a:round/>
                            <a:headEnd/>
                            <a:tailEnd/>
                          </a:ln>
                          <a:extLst>
                            <a:ext uri="{909E8E84-426E-40dd-AFC4-6F175D3DCCD1}">
                              <a14:hiddenFill xmlns:a14="http://schemas.microsoft.com/office/drawing/2010/main">
                                <a:noFill/>
                              </a14:hiddenFill>
                            </a:ext>
                          </a:extLst>
                        </wps:spPr>
                        <wps:bodyPr/>
                      </wps:wsp>
                      <wps:wsp>
                        <wps:cNvPr id="7267" name="TextBox 51"/>
                        <wps:cNvSpPr txBox="1"/>
                        <wps:spPr>
                          <a:xfrm>
                            <a:off x="258734" y="15871"/>
                            <a:ext cx="916940" cy="244475"/>
                          </a:xfrm>
                          <a:prstGeom prst="rect">
                            <a:avLst/>
                          </a:prstGeom>
                          <a:noFill/>
                        </wps:spPr>
                        <wps:txbx>
                          <w:txbxContent>
                            <w:p w14:paraId="52BF832F" w14:textId="77777777" w:rsidR="00801B9E" w:rsidRPr="007160DF" w:rsidRDefault="00801B9E" w:rsidP="007160DF">
                              <w:pPr>
                                <w:pStyle w:val="NormalWeb"/>
                                <w:spacing w:before="0" w:beforeAutospacing="0" w:after="0" w:afterAutospacing="0"/>
                                <w:textAlignment w:val="baseline"/>
                                <w:rPr>
                                  <w:b/>
                                </w:rPr>
                              </w:pPr>
                              <w:r w:rsidRPr="007160DF">
                                <w:rPr>
                                  <w:rFonts w:ascii="Arial" w:hAnsi="Arial" w:cs="Arial"/>
                                  <w:b/>
                                  <w:color w:val="000000" w:themeColor="text1"/>
                                  <w:kern w:val="24"/>
                                  <w:sz w:val="21"/>
                                  <w:szCs w:val="21"/>
                                </w:rPr>
                                <w:t>Transmitter</w:t>
                              </w:r>
                            </w:p>
                          </w:txbxContent>
                        </wps:txbx>
                        <wps:bodyPr wrap="none">
                          <a:spAutoFit/>
                        </wps:bodyPr>
                      </wps:wsp>
                      <wps:wsp>
                        <wps:cNvPr id="7268" name="TextBox 60"/>
                        <wps:cNvSpPr txBox="1"/>
                        <wps:spPr>
                          <a:xfrm>
                            <a:off x="2083844" y="0"/>
                            <a:ext cx="739140" cy="244475"/>
                          </a:xfrm>
                          <a:prstGeom prst="rect">
                            <a:avLst/>
                          </a:prstGeom>
                          <a:noFill/>
                        </wps:spPr>
                        <wps:txbx>
                          <w:txbxContent>
                            <w:p w14:paraId="00283CBC" w14:textId="77777777" w:rsidR="00801B9E" w:rsidRPr="007160DF" w:rsidRDefault="00801B9E" w:rsidP="007160DF">
                              <w:pPr>
                                <w:pStyle w:val="NormalWeb"/>
                                <w:spacing w:before="0" w:beforeAutospacing="0" w:after="0" w:afterAutospacing="0"/>
                                <w:textAlignment w:val="baseline"/>
                                <w:rPr>
                                  <w:b/>
                                </w:rPr>
                              </w:pPr>
                              <w:r w:rsidRPr="007160DF">
                                <w:rPr>
                                  <w:rFonts w:ascii="Arial" w:hAnsi="Arial" w:cs="Arial"/>
                                  <w:b/>
                                  <w:color w:val="000000" w:themeColor="text1"/>
                                  <w:kern w:val="24"/>
                                  <w:sz w:val="21"/>
                                  <w:szCs w:val="21"/>
                                </w:rPr>
                                <w:t>Receiver</w:t>
                              </w:r>
                            </w:p>
                          </w:txbxContent>
                        </wps:txbx>
                        <wps:bodyPr wrap="none">
                          <a:spAutoFit/>
                        </wps:bodyPr>
                      </wps:wsp>
                      <wps:wsp>
                        <wps:cNvPr id="7269" name="TextBox 63"/>
                        <wps:cNvSpPr txBox="1"/>
                        <wps:spPr>
                          <a:xfrm rot="616371">
                            <a:off x="1069253" y="288685"/>
                            <a:ext cx="1020445" cy="244475"/>
                          </a:xfrm>
                          <a:prstGeom prst="rect">
                            <a:avLst/>
                          </a:prstGeom>
                          <a:noFill/>
                        </wps:spPr>
                        <wps:txbx>
                          <w:txbxContent>
                            <w:p w14:paraId="1F9F3806" w14:textId="77777777" w:rsidR="00801B9E" w:rsidRDefault="00801B9E" w:rsidP="007160DF">
                              <w:pPr>
                                <w:pStyle w:val="NormalWeb"/>
                                <w:spacing w:before="0" w:beforeAutospacing="0" w:after="0" w:afterAutospacing="0"/>
                                <w:textAlignment w:val="baseline"/>
                              </w:pPr>
                              <w:r>
                                <w:rPr>
                                  <w:rFonts w:ascii="Arial" w:hAnsi="Arial" w:cs="Arial"/>
                                  <w:color w:val="000000" w:themeColor="text1"/>
                                  <w:kern w:val="24"/>
                                  <w:sz w:val="21"/>
                                  <w:szCs w:val="21"/>
                                </w:rPr>
                                <w:t>TCP Segment</w:t>
                              </w:r>
                            </w:p>
                          </w:txbxContent>
                        </wps:txbx>
                        <wps:bodyPr wrap="none">
                          <a:spAutoFit/>
                        </wps:bodyPr>
                      </wps:wsp>
                      <wps:wsp>
                        <wps:cNvPr id="7273" name="TextBox 64"/>
                        <wps:cNvSpPr txBox="1"/>
                        <wps:spPr>
                          <a:xfrm rot="616371">
                            <a:off x="1139432" y="1134466"/>
                            <a:ext cx="1020445" cy="244475"/>
                          </a:xfrm>
                          <a:prstGeom prst="rect">
                            <a:avLst/>
                          </a:prstGeom>
                          <a:noFill/>
                        </wps:spPr>
                        <wps:txbx>
                          <w:txbxContent>
                            <w:p w14:paraId="1CF0C2A7" w14:textId="77777777" w:rsidR="00801B9E" w:rsidRDefault="00801B9E" w:rsidP="007160DF">
                              <w:pPr>
                                <w:pStyle w:val="NormalWeb"/>
                                <w:spacing w:before="0" w:beforeAutospacing="0" w:after="0" w:afterAutospacing="0"/>
                                <w:textAlignment w:val="baseline"/>
                              </w:pPr>
                              <w:r>
                                <w:rPr>
                                  <w:rFonts w:ascii="Arial" w:hAnsi="Arial" w:cs="Arial"/>
                                  <w:color w:val="000000" w:themeColor="text1"/>
                                  <w:kern w:val="24"/>
                                  <w:sz w:val="21"/>
                                  <w:szCs w:val="21"/>
                                </w:rPr>
                                <w:t>TCP Segment</w:t>
                              </w:r>
                            </w:p>
                          </w:txbxContent>
                        </wps:txbx>
                        <wps:bodyPr wrap="none">
                          <a:spAutoFit/>
                        </wps:bodyPr>
                      </wps:wsp>
                      <wps:wsp>
                        <wps:cNvPr id="7274" name="TextBox 65"/>
                        <wps:cNvSpPr txBox="1"/>
                        <wps:spPr>
                          <a:xfrm rot="20939753">
                            <a:off x="1135722" y="666109"/>
                            <a:ext cx="761365" cy="244475"/>
                          </a:xfrm>
                          <a:prstGeom prst="rect">
                            <a:avLst/>
                          </a:prstGeom>
                          <a:noFill/>
                        </wps:spPr>
                        <wps:txbx>
                          <w:txbxContent>
                            <w:p w14:paraId="4A572213" w14:textId="77777777" w:rsidR="00801B9E" w:rsidRDefault="00801B9E" w:rsidP="007160DF">
                              <w:pPr>
                                <w:pStyle w:val="NormalWeb"/>
                                <w:spacing w:before="0" w:beforeAutospacing="0" w:after="0" w:afterAutospacing="0"/>
                                <w:textAlignment w:val="baseline"/>
                              </w:pPr>
                              <w:r>
                                <w:rPr>
                                  <w:rFonts w:ascii="Arial" w:hAnsi="Arial" w:cs="Arial"/>
                                  <w:color w:val="000000" w:themeColor="text1"/>
                                  <w:kern w:val="24"/>
                                  <w:sz w:val="21"/>
                                  <w:szCs w:val="21"/>
                                </w:rPr>
                                <w:t>TCP ACK</w:t>
                              </w:r>
                            </w:p>
                          </w:txbxContent>
                        </wps:txbx>
                        <wps:bodyPr wrap="none">
                          <a:spAutoFit/>
                        </wps:bodyPr>
                      </wps:wsp>
                      <wps:wsp>
                        <wps:cNvPr id="7275" name="TextBox 66"/>
                        <wps:cNvSpPr txBox="1"/>
                        <wps:spPr>
                          <a:xfrm rot="20939753">
                            <a:off x="1213429" y="1657342"/>
                            <a:ext cx="761365" cy="244475"/>
                          </a:xfrm>
                          <a:prstGeom prst="rect">
                            <a:avLst/>
                          </a:prstGeom>
                          <a:noFill/>
                        </wps:spPr>
                        <wps:txbx>
                          <w:txbxContent>
                            <w:p w14:paraId="55FD58FC" w14:textId="77777777" w:rsidR="00801B9E" w:rsidRDefault="00801B9E" w:rsidP="007160DF">
                              <w:pPr>
                                <w:pStyle w:val="NormalWeb"/>
                                <w:spacing w:before="0" w:beforeAutospacing="0" w:after="0" w:afterAutospacing="0"/>
                                <w:textAlignment w:val="baseline"/>
                              </w:pPr>
                              <w:r>
                                <w:rPr>
                                  <w:rFonts w:ascii="Arial" w:hAnsi="Arial" w:cs="Arial"/>
                                  <w:color w:val="000000" w:themeColor="text1"/>
                                  <w:kern w:val="24"/>
                                  <w:sz w:val="21"/>
                                  <w:szCs w:val="21"/>
                                </w:rPr>
                                <w:t>TCP ACK</w:t>
                              </w:r>
                            </w:p>
                          </w:txbxContent>
                        </wps:txbx>
                        <wps:bodyPr wrap="none">
                          <a:spAutoFit/>
                        </wps:bodyPr>
                      </wps:wsp>
                    </wpg:wgp>
                  </a:graphicData>
                </a:graphic>
              </wp:inline>
            </w:drawing>
          </mc:Choice>
          <mc:Fallback>
            <w:pict>
              <v:group id="Group 1" o:spid="_x0000_s1026" style="width:201.9pt;height:182.4pt;mso-position-horizontal-relative:char;mso-position-vertical-relative:line" coordorigin="258734" coordsize="2564250,2316163"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">
                <v:shapetype id="_x0000_t32" coordsize="21600,21600" o:spt="32" o:oned="t" path="m0,0l21600,21600e" filled="f">
                  <v:path arrowok="t" fillok="f" o:connecttype="none"/>
                  <o:lock v:ext="edit" shapetype="t"/>
                </v:shapetype>
                <v:shape id="Straight Arrow Connector 24" o:spid="_x0000_s1027" type="#_x0000_t32" style="position:absolute;left:706362;top:347615;width:1704686;height:339678;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" filled="t" fillcolor="#4f81bd [3204]" strokecolor="#c00000" strokeweight="2.25pt">
                  <v:stroke endarrow="open"/>
                </v:shape>
                <v:shape id="Straight Arrow Connector 25" o:spid="_x0000_s1028" type="#_x0000_t32" style="position:absolute;left:730171;top:788880;width:1680885;height:253965;flip:x;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RbJ/1cYAAADbAAAADwAAAGRycy9kb3ducmV2LnhtbESPQWsCMRSE74X+h/AKXkSzFRRdjVIK&#10;ghSkaruCt+fmmV26eVk3qW77601B6HGYmW+Y2aK1lbhQ40vHCp77CQji3OmSjYLPj2VvDMIHZI2V&#10;Y1LwQx4W88eHGabaXXlLl10wIkLYp6igCKFOpfR5QRZ939XE0Tu5xmKIsjFSN3iNcFvJQZKMpMWS&#10;40KBNb0WlH/tvq2C371BPGTr90O1HXXDcXLOzOZNqc5T+zIFEagN/+F7e6UVDIbw9yX+ADm/AQ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EWyf9XGAAAA2wAAAA8AAAAAAAAA&#10;AAAAAAAAoQIAAGRycy9kb3ducmV2LnhtbFBLBQYAAAAABAAEAPkAAACUAwAAAAA=&#10;" strokecolor="#00b050" strokeweight="2.25pt">
                  <v:stroke endarrow="open"/>
                </v:shape>
                <v:shape id="Straight Arrow Connector 26" o:spid="_x0000_s1029" type="#_x0000_t32" style="position:absolute;left:788988;top:1222375;width:1622425;height:255588;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" filled="t" fillcolor="#4f81bd [3204]" strokecolor="#c00000" strokeweight="2.25pt">
                  <v:stroke endarrow="open"/>
                </v:shape>
                <v:shape id="Straight Arrow Connector 28" o:spid="_x0000_s1030" type="#_x0000_t32" style="position:absolute;left:784225;top:1350963;width:1622425;height:254000;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" filled="t" fillcolor="#4f81bd [3204]" strokecolor="#c00000" strokeweight="2.25pt">
                  <v:stroke endarrow="open"/>
                </v:shape>
                <v:shape id="Straight Arrow Connector 31" o:spid="_x0000_s1031" type="#_x0000_t32" style="position:absolute;left:706438;top:1789113;width:1662112;height:254000;flip:x;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v1DvC8YAAADbAAAADwAAAGRycy9kb3ducmV2LnhtbESP3WoCMRSE7wu+QzhCb0SztiB1NUoR&#10;hCKU+reCd6eb0+zSzcl2E3Xr0xuh0MthZr5hpvPWVuJMjS8dKxgOEhDEudMlGwX73bL/AsIHZI2V&#10;Y1LwSx7ms87DFFPtLryh8zYYESHsU1RQhFCnUvq8IIt+4Gri6H25xmKIsjFSN3iJcFvJpyQZSYsl&#10;x4UCa1oUlH9vT1bB9WAQj9n7x7HajHrhc/yTmfVKqcdu+zoBEagN/+G/9ptW8DyE+5f4A+TsBg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L9Q7wvGAAAA2wAAAA8AAAAAAAAA&#10;AAAAAAAAoQIAAGRycy9kb3ducmV2LnhtbFBLBQYAAAAABAAEAPkAAACUAwAAAAA=&#10;" strokecolor="#00b050" strokeweight="2.25pt">
                  <v:stroke endarrow="open"/>
                </v:shape>
                <v:shape id="Straight Arrow Connector 7264" o:spid="_x0000_s1032" type="#_x0000_t32" style="position:absolute;left:730250;top:1916113;width:1676400;height:254000;flip:x;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" strokecolor="#00b050" strokeweight="2.25pt">
                  <v:stroke endarrow="open"/>
                </v:shape>
                <v:line id="Straight Connector 7265" o:spid="_x0000_s1033" style="position:absolute;visibility:visible;mso-wrap-style:square" from="720959,211138" to="720959,2316163"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" strokecolor="black [3213]" strokeweight="1pt"/>
                <v:line id="Straight Connector 7266" o:spid="_x0000_s1034" style="position:absolute;visibility:visible;mso-wrap-style:square" from="2411421,211138" to="2411421,2316163"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" strokecolor="black [3213]" strokeweight="1pt"/>
                <v:shapetype id="_x0000_t202" coordsize="21600,21600" o:spt="202" path="m0,0l0,21600,21600,21600,21600,0xe">
                  <v:stroke joinstyle="miter"/>
                  <v:path gradientshapeok="t" o:connecttype="rect"/>
                </v:shapetype>
                <v:shape id="TextBox 51" o:spid="_x0000_s1035" type="#_x0000_t202" style="position:absolute;left:258734;top:15871;width:916940;height:244475;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7zP+oxQAA&#10;AN0AAAAPAAAAZHJzL2Rvd25yZXYueG1sRI/NasMwEITvgb6D2EJvjWzT/LlWQklbyK35e4DF2liu&#10;rZWx1MTN00eFQo7DzHzDFKvBtuJMva8dK0jHCQji0umaKwXHw+fzHIQPyBpbx6Tglzyslg+jAnPt&#10;Lryj8z5UIkLY56jAhNDlUvrSkEU/dh1x9E6utxii7Cupe7xEuG1lliRTabHmuGCwo7Whstn/WAXz&#10;xH41zSLbevtyTSdm/e4+um+lnh6Ht1cQgYZwD/+3N1rBLJvO4O9NfAJyeQM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DvM/6jFAAAA3QAAAA8AAAAAAAAAAAAAAAAAlwIAAGRycy9k&#10;b3ducmV2LnhtbFBLBQYAAAAABAAEAPUAAACJAwAAAAA=&#10;" filled="f" stroked="f">
                  <v:textbox style="mso-fit-shape-to-text:t">
                    <w:txbxContent>
                      <w:p w14:paraId="52BF832F" w14:textId="77777777" w:rsidR="00801B9E" w:rsidRPr="007160DF" w:rsidRDefault="00801B9E" w:rsidP="007160DF">
                        <w:pPr>
                          <w:pStyle w:val="NormalWeb"/>
                          <w:spacing w:before="0" w:beforeAutospacing="0" w:after="0" w:afterAutospacing="0"/>
                          <w:textAlignment w:val="baseline"/>
                          <w:rPr>
                            <w:b/>
                          </w:rPr>
                        </w:pPr>
                        <w:r w:rsidRPr="007160DF">
                          <w:rPr>
                            <w:rFonts w:ascii="Arial" w:hAnsi="Arial" w:cs="Arial"/>
                            <w:b/>
                            <w:color w:val="000000" w:themeColor="text1"/>
                            <w:kern w:val="24"/>
                            <w:sz w:val="21"/>
                            <w:szCs w:val="21"/>
                          </w:rPr>
                          <w:t>Transmitter</w:t>
                        </w:r>
                      </w:p>
                    </w:txbxContent>
                  </v:textbox>
                </v:shape>
                <v:shape id="TextBox 60" o:spid="_x0000_s1036" type="#_x0000_t202" style="position:absolute;left:2083844;width:739140;height:244475;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KU2vawgAA&#10;AN0AAAAPAAAAZHJzL2Rvd25yZXYueG1sRE9LbsIwEN1X4g7WILErDhHlEzAIUSqxawscYBQPcUg8&#10;jmIXAqfHC6Qun95/ue5sLa7U+tKxgtEwAUGcO11yoeB0/HqfgfABWWPtmBTcycN61XtbYqbdjX/p&#10;egiFiCHsM1RgQmgyKX1uyKIfuoY4cmfXWgwRtoXULd5iuK1lmiQTabHk2GCwoa2hvDr8WQWzxH5X&#10;1Tz98Xb8GH2Y7afbNRelBv1uswARqAv/4pd7rxVM00mcG9/EJyBXT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EpTa9rCAAAA3QAAAA8AAAAAAAAAAAAAAAAAlwIAAGRycy9kb3du&#10;cmV2LnhtbFBLBQYAAAAABAAEAPUAAACGAwAAAAA=&#10;" filled="f" stroked="f">
                  <v:textbox style="mso-fit-shape-to-text:t">
                    <w:txbxContent>
                      <w:p w14:paraId="00283CBC" w14:textId="77777777" w:rsidR="00801B9E" w:rsidRPr="007160DF" w:rsidRDefault="00801B9E" w:rsidP="007160DF">
                        <w:pPr>
                          <w:pStyle w:val="NormalWeb"/>
                          <w:spacing w:before="0" w:beforeAutospacing="0" w:after="0" w:afterAutospacing="0"/>
                          <w:textAlignment w:val="baseline"/>
                          <w:rPr>
                            <w:b/>
                          </w:rPr>
                        </w:pPr>
                        <w:r w:rsidRPr="007160DF">
                          <w:rPr>
                            <w:rFonts w:ascii="Arial" w:hAnsi="Arial" w:cs="Arial"/>
                            <w:b/>
                            <w:color w:val="000000" w:themeColor="text1"/>
                            <w:kern w:val="24"/>
                            <w:sz w:val="21"/>
                            <w:szCs w:val="21"/>
                          </w:rPr>
                          <w:t>Receiver</w:t>
                        </w:r>
                      </w:p>
                    </w:txbxContent>
                  </v:textbox>
                </v:shape>
                <v:shape id="TextBox 63" o:spid="_x0000_s1037" type="#_x0000_t202" style="position:absolute;left:1069253;top:288685;width:1020445;height:244475;rotation:673241fd;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rBpzBxQAA&#10;AN0AAAAPAAAAZHJzL2Rvd25yZXYueG1sRI9PawIxFMTvBb9DeEJvNaug226NUgqCevPPocfH5rlZ&#10;3Lwsm7jGfnojCB6HmfkNM19G24ieOl87VjAeZSCIS6drrhQcD6uPTxA+IGtsHJOCG3lYLgZvcyy0&#10;u/KO+n2oRIKwL1CBCaEtpPSlIYt+5Fri5J1cZzEk2VVSd3hNcNvISZbNpMWa04LBln4Nlef9xSqY&#10;xtPZ/m9uuTaxP67+crMdr3dKvQ/jzzeIQDG8ws/2WivIJ7MveLxJT0Au7g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CsGnMHFAAAA3QAAAA8AAAAAAAAAAAAAAAAAlwIAAGRycy9k&#10;b3ducmV2LnhtbFBLBQYAAAAABAAEAPUAAACJAwAAAAA=&#10;" filled="f" stroked="f">
                  <v:textbox style="mso-fit-shape-to-text:t">
                    <w:txbxContent>
                      <w:p w14:paraId="1F9F3806" w14:textId="77777777" w:rsidR="00801B9E" w:rsidRDefault="00801B9E" w:rsidP="007160DF">
                        <w:pPr>
                          <w:pStyle w:val="NormalWeb"/>
                          <w:spacing w:before="0" w:beforeAutospacing="0" w:after="0" w:afterAutospacing="0"/>
                          <w:textAlignment w:val="baseline"/>
                        </w:pPr>
                        <w:r>
                          <w:rPr>
                            <w:rFonts w:ascii="Arial" w:hAnsi="Arial" w:cs="Arial"/>
                            <w:color w:val="000000" w:themeColor="text1"/>
                            <w:kern w:val="24"/>
                            <w:sz w:val="21"/>
                            <w:szCs w:val="21"/>
                          </w:rPr>
                          <w:t>TCP Segment</w:t>
                        </w:r>
                      </w:p>
                    </w:txbxContent>
                  </v:textbox>
                </v:shape>
                <v:shape id="TextBox 64" o:spid="_x0000_s1038" type="#_x0000_t202" style="position:absolute;left:1139432;top:1134466;width:1020445;height:244475;rotation:673241fd;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PNz32xQAA&#10;AN0AAAAPAAAAZHJzL2Rvd25yZXYueG1sRI9PawIxFMTvhX6H8ArealZLXVmNIoKgvfnn4PGxeW4W&#10;Ny/LJl2jn94UCh6HmfkNM19G24ieOl87VjAaZiCIS6drrhScjpvPKQgfkDU2jknBnTwsF+9vcyy0&#10;u/Ge+kOoRIKwL1CBCaEtpPSlIYt+6Fri5F1cZzEk2VVSd3hLcNvIcZZNpMWa04LBltaGyuvh1yr4&#10;jperfezuuTaxP23OufkZbfdKDT7iagYiUAyv8H97qxXk4/wL/t6kJyAXT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M83PfbFAAAA3QAAAA8AAAAAAAAAAAAAAAAAlwIAAGRycy9k&#10;b3ducmV2LnhtbFBLBQYAAAAABAAEAPUAAACJAwAAAAA=&#10;" filled="f" stroked="f">
                  <v:textbox style="mso-fit-shape-to-text:t">
                    <w:txbxContent>
                      <w:p w14:paraId="1CF0C2A7" w14:textId="77777777" w:rsidR="00801B9E" w:rsidRDefault="00801B9E" w:rsidP="007160DF">
                        <w:pPr>
                          <w:pStyle w:val="NormalWeb"/>
                          <w:spacing w:before="0" w:beforeAutospacing="0" w:after="0" w:afterAutospacing="0"/>
                          <w:textAlignment w:val="baseline"/>
                        </w:pPr>
                        <w:r>
                          <w:rPr>
                            <w:rFonts w:ascii="Arial" w:hAnsi="Arial" w:cs="Arial"/>
                            <w:color w:val="000000" w:themeColor="text1"/>
                            <w:kern w:val="24"/>
                            <w:sz w:val="21"/>
                            <w:szCs w:val="21"/>
                          </w:rPr>
                          <w:t>TCP Segment</w:t>
                        </w:r>
                      </w:p>
                    </w:txbxContent>
                  </v:textbox>
                </v:shape>
                <v:shape id="TextBox 65" o:spid="_x0000_s1039" type="#_x0000_t202" style="position:absolute;left:1135722;top:666109;width:761365;height:244475;rotation:-721166fd;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" filled="f" stroked="f">
                  <v:textbox style="mso-fit-shape-to-text:t">
                    <w:txbxContent>
                      <w:p w14:paraId="4A572213" w14:textId="77777777" w:rsidR="00801B9E" w:rsidRDefault="00801B9E" w:rsidP="007160DF">
                        <w:pPr>
                          <w:pStyle w:val="NormalWeb"/>
                          <w:spacing w:before="0" w:beforeAutospacing="0" w:after="0" w:afterAutospacing="0"/>
                          <w:textAlignment w:val="baseline"/>
                        </w:pPr>
                        <w:r>
                          <w:rPr>
                            <w:rFonts w:ascii="Arial" w:hAnsi="Arial" w:cs="Arial"/>
                            <w:color w:val="000000" w:themeColor="text1"/>
                            <w:kern w:val="24"/>
                            <w:sz w:val="21"/>
                            <w:szCs w:val="21"/>
                          </w:rPr>
                          <w:t>TCP ACK</w:t>
                        </w:r>
                      </w:p>
                    </w:txbxContent>
                  </v:textbox>
                </v:shape>
                <v:shape id="TextBox 66" o:spid="_x0000_s1040" type="#_x0000_t202" style="position:absolute;left:1213429;top:1657342;width:761365;height:244475;rotation:-721166fd;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" filled="f" stroked="f">
                  <v:textbox style="mso-fit-shape-to-text:t">
                    <w:txbxContent>
                      <w:p w14:paraId="55FD58FC" w14:textId="77777777" w:rsidR="00801B9E" w:rsidRDefault="00801B9E" w:rsidP="007160DF">
                        <w:pPr>
                          <w:pStyle w:val="NormalWeb"/>
                          <w:spacing w:before="0" w:beforeAutospacing="0" w:after="0" w:afterAutospacing="0"/>
                          <w:textAlignment w:val="baseline"/>
                        </w:pPr>
                        <w:r>
                          <w:rPr>
                            <w:rFonts w:ascii="Arial" w:hAnsi="Arial" w:cs="Arial"/>
                            <w:color w:val="000000" w:themeColor="text1"/>
                            <w:kern w:val="24"/>
                            <w:sz w:val="21"/>
                            <w:szCs w:val="21"/>
                          </w:rPr>
                          <w:t>TCP ACK</w:t>
                        </w:r>
                      </w:p>
                    </w:txbxContent>
                  </v:textbox>
                </v:shape>
                <w10:anchorlock/>
              </v:group>
            </w:pict>
          </mc:Fallback>
        </mc:AlternateContent>
      </w:r>
    </w:p>
    <w:p w14:paraId="216BB9B9" w14:textId="168851E7" w:rsidR="007160DF" w:rsidRPr="007160DF" w:rsidRDefault="007160DF" w:rsidP="007160DF">
      <w:pPr>
        <w:rPr>
          <w:b/>
        </w:rPr>
      </w:pPr>
      <w:r w:rsidRPr="007160DF">
        <w:rPr>
          <w:b/>
        </w:rPr>
        <w:t>Figure 2. The initial TCP phase</w:t>
      </w:r>
      <w:r>
        <w:rPr>
          <w:b/>
        </w:rPr>
        <w:t xml:space="preserve"> (slow-start) is illustrated</w:t>
      </w:r>
      <w:r w:rsidR="00656207">
        <w:rPr>
          <w:b/>
        </w:rPr>
        <w:t xml:space="preserve"> in this example</w:t>
      </w:r>
      <w:r>
        <w:rPr>
          <w:b/>
        </w:rPr>
        <w:t xml:space="preserve">. The </w:t>
      </w:r>
      <w:r w:rsidR="00D0166D">
        <w:rPr>
          <w:b/>
        </w:rPr>
        <w:t xml:space="preserve">ramp-up of </w:t>
      </w:r>
      <w:r w:rsidRPr="007160DF">
        <w:rPr>
          <w:b/>
        </w:rPr>
        <w:t xml:space="preserve">number of TCP segments </w:t>
      </w:r>
      <w:r w:rsidR="00D0166D">
        <w:rPr>
          <w:b/>
        </w:rPr>
        <w:t xml:space="preserve">that are </w:t>
      </w:r>
      <w:r w:rsidRPr="007160DF">
        <w:rPr>
          <w:b/>
        </w:rPr>
        <w:t>sent depend on the round trip delay until the transmitter gets the acknowledgments (TCP</w:t>
      </w:r>
      <w:r>
        <w:rPr>
          <w:b/>
        </w:rPr>
        <w:t xml:space="preserve"> ACKs) for the transmitted segments</w:t>
      </w:r>
      <w:r w:rsidRPr="007160DF">
        <w:rPr>
          <w:b/>
        </w:rPr>
        <w:t xml:space="preserve">.  </w:t>
      </w:r>
    </w:p>
    <w:p w14:paraId="3CC0A834" w14:textId="77777777" w:rsidR="007160DF" w:rsidRDefault="007160DF" w:rsidP="007160DF"/>
    <w:p w14:paraId="46019CFF" w14:textId="77777777" w:rsidR="00D70B55" w:rsidRPr="000032F4" w:rsidRDefault="00D70B55" w:rsidP="00D70B55">
      <w:pPr>
        <w:pStyle w:val="Heading3"/>
      </w:pPr>
      <w:r>
        <w:t>Real-time application</w:t>
      </w:r>
    </w:p>
    <w:p w14:paraId="46F0AEC4" w14:textId="77777777" w:rsidR="00D70B55" w:rsidRDefault="00D70B55" w:rsidP="00D70B55">
      <w:r>
        <w:t xml:space="preserve">Voice over LTE (VoLTE) is an example for real-time applications. </w:t>
      </w:r>
      <w:r w:rsidRPr="00D70B55">
        <w:t xml:space="preserve">To enable </w:t>
      </w:r>
      <w:r w:rsidR="00364BEA">
        <w:t xml:space="preserve">a </w:t>
      </w:r>
      <w:r w:rsidRPr="00D70B55">
        <w:t>natural conversation</w:t>
      </w:r>
      <w:r w:rsidR="00D0166D">
        <w:t xml:space="preserve"> (e.g., in VoLTE)</w:t>
      </w:r>
      <w:r w:rsidRPr="00D70B55">
        <w:t xml:space="preserve">, modern </w:t>
      </w:r>
      <w:r>
        <w:t>cellular technologies (e.g., LTE)</w:t>
      </w:r>
      <w:r w:rsidRPr="00D70B55">
        <w:t xml:space="preserve"> </w:t>
      </w:r>
      <w:r>
        <w:t>are</w:t>
      </w:r>
      <w:r w:rsidRPr="00D70B55">
        <w:t xml:space="preserve"> designed </w:t>
      </w:r>
      <w:r w:rsidR="00D0166D">
        <w:t>so that</w:t>
      </w:r>
      <w:r w:rsidRPr="00D70B55">
        <w:t xml:space="preserve"> </w:t>
      </w:r>
      <w:r w:rsidR="00364BEA">
        <w:t xml:space="preserve">the </w:t>
      </w:r>
      <w:r w:rsidRPr="00D70B55">
        <w:t xml:space="preserve">voice is transmitted within 100 </w:t>
      </w:r>
      <w:proofErr w:type="spellStart"/>
      <w:r>
        <w:t>ms</w:t>
      </w:r>
      <w:proofErr w:type="spellEnd"/>
      <w:r w:rsidR="00D0166D">
        <w:t xml:space="preserve"> latency bound</w:t>
      </w:r>
      <w:r>
        <w:t>. Yet, VoLTE can still benefit from the increased number of transmission opportunities</w:t>
      </w:r>
      <w:r w:rsidR="00D0166D">
        <w:t xml:space="preserve"> by means of the latency reductions</w:t>
      </w:r>
      <w:r>
        <w:t xml:space="preserve"> given the latency bound. This</w:t>
      </w:r>
      <w:r w:rsidR="00D0166D">
        <w:t xml:space="preserve"> is because that </w:t>
      </w:r>
      <w:r>
        <w:t>VoLTE system coverage and capacity</w:t>
      </w:r>
      <w:r w:rsidR="00D0166D">
        <w:t xml:space="preserve"> can be significantly improved</w:t>
      </w:r>
      <w:r>
        <w:t xml:space="preserve">. </w:t>
      </w:r>
    </w:p>
    <w:p w14:paraId="1A6D5DA9" w14:textId="26B81C0A" w:rsidR="00C003DF" w:rsidRDefault="00D70B55" w:rsidP="00D70B55">
      <w:r>
        <w:t xml:space="preserve">In addition, </w:t>
      </w:r>
      <w:r w:rsidR="007E0A46">
        <w:t xml:space="preserve">VoLTE and </w:t>
      </w:r>
      <w:r>
        <w:t>other real-time applications w</w:t>
      </w:r>
      <w:r w:rsidR="00364BEA">
        <w:t>ill benefit from reduced latencies</w:t>
      </w:r>
      <w:r>
        <w:t xml:space="preserve"> in terms of increased perceived quality of experience. For instance, </w:t>
      </w:r>
      <w:r w:rsidR="00D0166D">
        <w:t>the latency bound</w:t>
      </w:r>
      <w:r>
        <w:t xml:space="preserve"> is crucial</w:t>
      </w:r>
      <w:r w:rsidR="00D0166D">
        <w:t xml:space="preserve"> for </w:t>
      </w:r>
      <w:r>
        <w:t>gaming applications</w:t>
      </w:r>
      <w:r w:rsidR="00D0166D">
        <w:t xml:space="preserve"> in order to satisfy</w:t>
      </w:r>
      <w:r>
        <w:t xml:space="preserve"> </w:t>
      </w:r>
      <w:r w:rsidR="00D0166D">
        <w:t xml:space="preserve">the </w:t>
      </w:r>
      <w:r>
        <w:t xml:space="preserve">typical human visual reaction time </w:t>
      </w:r>
      <w:r w:rsidR="00D0166D">
        <w:t xml:space="preserve">which </w:t>
      </w:r>
      <w:r>
        <w:t>is</w:t>
      </w:r>
      <w:r w:rsidR="00D0166D">
        <w:t xml:space="preserve"> </w:t>
      </w:r>
      <w:r>
        <w:t>in the range of 10 ms.</w:t>
      </w:r>
      <w:r w:rsidR="00676474">
        <w:t xml:space="preserve"> </w:t>
      </w:r>
    </w:p>
    <w:p w14:paraId="70AEE8AB" w14:textId="77777777" w:rsidR="009F1B06" w:rsidRDefault="00C003DF" w:rsidP="00D70B55">
      <w:r>
        <w:t xml:space="preserve">In video conferencing, similar level of latency requirement may </w:t>
      </w:r>
      <w:r w:rsidR="00612173">
        <w:t xml:space="preserve">also </w:t>
      </w:r>
      <w:r>
        <w:t xml:space="preserve">be sought. For instance, in order </w:t>
      </w:r>
      <w:r w:rsidR="00676474">
        <w:t>to provide a seamless video experience</w:t>
      </w:r>
      <w:r w:rsidR="009F1B06">
        <w:t xml:space="preserve"> </w:t>
      </w:r>
      <w:r w:rsidR="00676474">
        <w:t xml:space="preserve">assuming </w:t>
      </w:r>
      <w:r w:rsidR="00364BEA">
        <w:t>that the picture refresh rate is</w:t>
      </w:r>
      <w:r w:rsidR="00676474">
        <w:t xml:space="preserve"> 100 Hz, inter-picture latency has to be 10 </w:t>
      </w:r>
      <w:proofErr w:type="spellStart"/>
      <w:r w:rsidR="00676474">
        <w:t>ms</w:t>
      </w:r>
      <w:proofErr w:type="spellEnd"/>
      <w:r w:rsidR="00676474">
        <w:t xml:space="preserve"> </w:t>
      </w:r>
      <w:r w:rsidR="00676474">
        <w:fldChar w:fldCharType="begin"/>
      </w:r>
      <w:r w:rsidR="00676474">
        <w:instrText xml:space="preserve"> REF _Ref418777991 \r \h </w:instrText>
      </w:r>
      <w:r w:rsidR="00676474">
        <w:fldChar w:fldCharType="separate"/>
      </w:r>
      <w:r w:rsidR="00676474">
        <w:t>[4]</w:t>
      </w:r>
      <w:r w:rsidR="00676474">
        <w:fldChar w:fldCharType="end"/>
      </w:r>
      <w:r w:rsidR="00676474">
        <w:t>.</w:t>
      </w:r>
      <w:r w:rsidR="009F1B06">
        <w:t xml:space="preserve"> </w:t>
      </w:r>
    </w:p>
    <w:p w14:paraId="0120E4E2" w14:textId="284A4D47" w:rsidR="00D0166D" w:rsidRDefault="00D0166D" w:rsidP="00D0166D">
      <w:pPr>
        <w:pStyle w:val="Proposal"/>
        <w:numPr>
          <w:ilvl w:val="0"/>
          <w:numId w:val="25"/>
        </w:numPr>
        <w:tabs>
          <w:tab w:val="clear" w:pos="1304"/>
        </w:tabs>
        <w:ind w:left="1701" w:hanging="1701"/>
      </w:pPr>
      <w:bookmarkStart w:id="3" w:name="_Toc419483747"/>
      <w:bookmarkStart w:id="4" w:name="_Toc419483803"/>
      <w:r>
        <w:t xml:space="preserve">RAN2 should </w:t>
      </w:r>
      <w:r w:rsidR="00FF7755">
        <w:t>consider</w:t>
      </w:r>
      <w:r>
        <w:t xml:space="preserve"> real-time application use case </w:t>
      </w:r>
      <w:r w:rsidR="00FF7755">
        <w:t>and</w:t>
      </w:r>
      <w:r>
        <w:t xml:space="preserve"> analyse the possible gains in </w:t>
      </w:r>
      <w:r w:rsidR="008F66DF">
        <w:t>delay,</w:t>
      </w:r>
      <w:r>
        <w:t xml:space="preserve"> service coverage and system capacity</w:t>
      </w:r>
      <w:r w:rsidRPr="008340BC">
        <w:t>.</w:t>
      </w:r>
      <w:bookmarkEnd w:id="3"/>
      <w:bookmarkEnd w:id="4"/>
      <w:r>
        <w:t xml:space="preserve"> </w:t>
      </w:r>
    </w:p>
    <w:p w14:paraId="65F94FD9" w14:textId="77777777" w:rsidR="00DE2527" w:rsidRDefault="00DE2527" w:rsidP="00DE2527">
      <w:pPr>
        <w:pStyle w:val="Proposal"/>
        <w:numPr>
          <w:ilvl w:val="0"/>
          <w:numId w:val="0"/>
        </w:numPr>
        <w:ind w:left="1701"/>
      </w:pPr>
    </w:p>
    <w:p w14:paraId="287915F2" w14:textId="77777777" w:rsidR="00D0166D" w:rsidRDefault="00676474" w:rsidP="00676474">
      <w:pPr>
        <w:jc w:val="center"/>
      </w:pPr>
      <w:r>
        <w:rPr>
          <w:noProof/>
          <w:lang w:val="en-US" w:eastAsia="en-US"/>
        </w:rPr>
        <w:drawing>
          <wp:inline distT="0" distB="0" distL="0" distR="0" wp14:anchorId="749EDB50" wp14:editId="0D508FCA">
            <wp:extent cx="4258235" cy="1936154"/>
            <wp:effectExtent l="0" t="0" r="9525" b="6985"/>
            <wp:docPr id="7282" name="Picture 7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63445" cy="1938523"/>
                    </a:xfrm>
                    <a:prstGeom prst="rect">
                      <a:avLst/>
                    </a:prstGeom>
                    <a:noFill/>
                  </pic:spPr>
                </pic:pic>
              </a:graphicData>
            </a:graphic>
          </wp:inline>
        </w:drawing>
      </w:r>
    </w:p>
    <w:p w14:paraId="484BA940" w14:textId="77777777" w:rsidR="00D0166D" w:rsidRDefault="00D0166D" w:rsidP="00D0166D">
      <w:pPr>
        <w:rPr>
          <w:b/>
        </w:rPr>
      </w:pPr>
      <w:r w:rsidRPr="007160DF">
        <w:rPr>
          <w:b/>
        </w:rPr>
        <w:t xml:space="preserve">Figure </w:t>
      </w:r>
      <w:r>
        <w:rPr>
          <w:b/>
        </w:rPr>
        <w:t>3</w:t>
      </w:r>
      <w:r w:rsidRPr="007160DF">
        <w:rPr>
          <w:b/>
        </w:rPr>
        <w:t xml:space="preserve">. The </w:t>
      </w:r>
      <w:r w:rsidR="00676474">
        <w:rPr>
          <w:b/>
        </w:rPr>
        <w:t xml:space="preserve">high-level illustration of gaming application requiring end-to-end latency of 10 </w:t>
      </w:r>
      <w:proofErr w:type="spellStart"/>
      <w:r w:rsidR="00676474">
        <w:rPr>
          <w:b/>
        </w:rPr>
        <w:t>ms</w:t>
      </w:r>
      <w:proofErr w:type="spellEnd"/>
      <w:r w:rsidR="00676474">
        <w:rPr>
          <w:b/>
        </w:rPr>
        <w:t xml:space="preserve"> to satisfy </w:t>
      </w:r>
      <w:r w:rsidR="00676474" w:rsidRPr="00676474">
        <w:rPr>
          <w:b/>
        </w:rPr>
        <w:t>the typical human visual reaction time</w:t>
      </w:r>
      <w:r w:rsidR="00BA0154">
        <w:rPr>
          <w:b/>
        </w:rPr>
        <w:t xml:space="preserve"> e.g.,</w:t>
      </w:r>
      <w:r w:rsidR="00676474">
        <w:rPr>
          <w:b/>
        </w:rPr>
        <w:t xml:space="preserve"> 10 ms</w:t>
      </w:r>
      <w:r w:rsidRPr="007160DF">
        <w:rPr>
          <w:b/>
        </w:rPr>
        <w:t xml:space="preserve">.  </w:t>
      </w:r>
    </w:p>
    <w:p w14:paraId="19A8C8E8" w14:textId="77777777" w:rsidR="00D70B55" w:rsidRPr="000032F4" w:rsidRDefault="00D70B55" w:rsidP="00D70B55">
      <w:pPr>
        <w:pStyle w:val="Heading3"/>
      </w:pPr>
      <w:r w:rsidRPr="000032F4">
        <w:lastRenderedPageBreak/>
        <w:t xml:space="preserve">Mission-critical </w:t>
      </w:r>
      <w:r>
        <w:t xml:space="preserve">communication </w:t>
      </w:r>
      <w:r w:rsidRPr="000032F4">
        <w:t>application</w:t>
      </w:r>
    </w:p>
    <w:p w14:paraId="7B3018C9" w14:textId="77777777" w:rsidR="00676474" w:rsidRDefault="00D70B55" w:rsidP="00D70B55">
      <w:r>
        <w:t>The emerging applications require reduced latencies and i</w:t>
      </w:r>
      <w:r w:rsidR="009F1B06">
        <w:t>mproved</w:t>
      </w:r>
      <w:r>
        <w:t xml:space="preserve"> reliability than those that LTE currently provides. These new applications include </w:t>
      </w:r>
      <w:r w:rsidRPr="00EB399E">
        <w:rPr>
          <w:lang w:val="en-US"/>
        </w:rPr>
        <w:t>real-time control and automation of dynamic processes in various fields, such as industrial process automation</w:t>
      </w:r>
      <w:r>
        <w:rPr>
          <w:lang w:val="en-US"/>
        </w:rPr>
        <w:t xml:space="preserve"> and manufacturing, automated guided vehicles</w:t>
      </w:r>
      <w:r w:rsidRPr="00EB399E">
        <w:rPr>
          <w:lang w:val="en-US"/>
        </w:rPr>
        <w:t>, energy distribution</w:t>
      </w:r>
      <w:r>
        <w:rPr>
          <w:lang w:val="en-US"/>
        </w:rPr>
        <w:t>,</w:t>
      </w:r>
      <w:r w:rsidRPr="00EB399E">
        <w:rPr>
          <w:lang w:val="en-US"/>
        </w:rPr>
        <w:t xml:space="preserve"> intelligent transport systems</w:t>
      </w:r>
      <w:r w:rsidR="00676474">
        <w:rPr>
          <w:lang w:val="en-US"/>
        </w:rPr>
        <w:t>/V2X communication,</w:t>
      </w:r>
      <w:r>
        <w:rPr>
          <w:lang w:val="en-US"/>
        </w:rPr>
        <w:t xml:space="preserve"> and </w:t>
      </w:r>
      <w:r>
        <w:t xml:space="preserve">augmented/virtual reality </w:t>
      </w:r>
      <w:r>
        <w:fldChar w:fldCharType="begin"/>
      </w:r>
      <w:r>
        <w:instrText xml:space="preserve"> REF _Ref408786436 \r \h </w:instrText>
      </w:r>
      <w:r>
        <w:fldChar w:fldCharType="separate"/>
      </w:r>
      <w:r>
        <w:t>[3]</w:t>
      </w:r>
      <w:r>
        <w:fldChar w:fldCharType="end"/>
      </w:r>
      <w:r>
        <w:fldChar w:fldCharType="begin"/>
      </w:r>
      <w:r>
        <w:instrText xml:space="preserve"> REF _Ref418777991 \r \h </w:instrText>
      </w:r>
      <w:r>
        <w:fldChar w:fldCharType="separate"/>
      </w:r>
      <w:r>
        <w:t>[4]</w:t>
      </w:r>
      <w:r>
        <w:fldChar w:fldCharType="end"/>
      </w:r>
      <w:r>
        <w:t xml:space="preserve">. </w:t>
      </w:r>
    </w:p>
    <w:p w14:paraId="7F33D32C" w14:textId="77777777" w:rsidR="00676474" w:rsidRDefault="00676474" w:rsidP="00D70B55">
      <w:r>
        <w:t xml:space="preserve">With respect to the previous use cases, down to 1 </w:t>
      </w:r>
      <w:proofErr w:type="spellStart"/>
      <w:r>
        <w:t>ms</w:t>
      </w:r>
      <w:proofErr w:type="spellEnd"/>
      <w:r>
        <w:t xml:space="preserve"> </w:t>
      </w:r>
      <w:r w:rsidR="008F66DF">
        <w:t>latency</w:t>
      </w:r>
      <w:r>
        <w:t xml:space="preserve"> may be </w:t>
      </w:r>
      <w:r w:rsidR="00F84FB3">
        <w:t>needed</w:t>
      </w:r>
      <w:r>
        <w:t xml:space="preserve"> in order to </w:t>
      </w:r>
      <w:r w:rsidR="008F66DF">
        <w:t xml:space="preserve">meet the reaction time requirement of </w:t>
      </w:r>
      <w:r w:rsidR="00F84FB3">
        <w:rPr>
          <w:lang w:val="en-US"/>
        </w:rPr>
        <w:t>applications</w:t>
      </w:r>
      <w:r>
        <w:rPr>
          <w:lang w:val="en-US"/>
        </w:rPr>
        <w:t xml:space="preserve"> where the machine or human</w:t>
      </w:r>
      <w:r w:rsidR="00F84FB3">
        <w:rPr>
          <w:lang w:val="en-US"/>
        </w:rPr>
        <w:t>, assumed to be mobile,</w:t>
      </w:r>
      <w:r>
        <w:rPr>
          <w:lang w:val="en-US"/>
        </w:rPr>
        <w:t xml:space="preserve"> interact</w:t>
      </w:r>
      <w:r w:rsidR="00364BEA">
        <w:rPr>
          <w:lang w:val="en-US"/>
        </w:rPr>
        <w:t>s</w:t>
      </w:r>
      <w:r>
        <w:rPr>
          <w:lang w:val="en-US"/>
        </w:rPr>
        <w:t xml:space="preserve"> </w:t>
      </w:r>
      <w:r w:rsidR="00F84FB3">
        <w:rPr>
          <w:lang w:val="en-US"/>
        </w:rPr>
        <w:t xml:space="preserve">with another machine or human or simply with its environment </w:t>
      </w:r>
      <w:r>
        <w:fldChar w:fldCharType="begin"/>
      </w:r>
      <w:r>
        <w:instrText xml:space="preserve"> REF _Ref418777991 \r \h </w:instrText>
      </w:r>
      <w:r>
        <w:fldChar w:fldCharType="separate"/>
      </w:r>
      <w:r>
        <w:t>[4]</w:t>
      </w:r>
      <w:r>
        <w:fldChar w:fldCharType="end"/>
      </w:r>
      <w:r w:rsidR="00ED5880">
        <w:t xml:space="preserve"> as shown</w:t>
      </w:r>
      <w:r w:rsidR="00364BEA">
        <w:t xml:space="preserve"> with an example</w:t>
      </w:r>
      <w:r w:rsidR="00ED5880">
        <w:t xml:space="preserve"> in Figure 4</w:t>
      </w:r>
      <w:r>
        <w:rPr>
          <w:lang w:val="en-US"/>
        </w:rPr>
        <w:t xml:space="preserve">. </w:t>
      </w:r>
    </w:p>
    <w:p w14:paraId="02393E71" w14:textId="77777777" w:rsidR="00D70B55" w:rsidRDefault="00D70B55" w:rsidP="008F66DF">
      <w:r>
        <w:t>For these applications, it is important to analyse potential latency improvements that LTE can offer</w:t>
      </w:r>
      <w:r w:rsidR="008F66DF">
        <w:t xml:space="preserve"> i.e., minimal delay (given the BLER and packet size requirements).</w:t>
      </w:r>
      <w:r>
        <w:t xml:space="preserve"> </w:t>
      </w:r>
      <w:r w:rsidR="00364BEA">
        <w:t>Moreover</w:t>
      </w:r>
      <w:r>
        <w:t>, the increased number of possible transmissions within a certain delay bound could also translate into more robust transmissions and increased reliability thereof</w:t>
      </w:r>
      <w:r w:rsidR="008F66DF">
        <w:t xml:space="preserve">. Hence, </w:t>
      </w:r>
      <w:r w:rsidR="00364BEA">
        <w:t xml:space="preserve">the </w:t>
      </w:r>
      <w:r w:rsidR="008F66DF">
        <w:t xml:space="preserve">reliability improvements </w:t>
      </w:r>
      <w:r w:rsidR="00364BEA">
        <w:t xml:space="preserve">also </w:t>
      </w:r>
      <w:r w:rsidR="008F66DF">
        <w:t>need to be considered i.e., minimal BLER (given the delay and packet size requirements)</w:t>
      </w:r>
      <w:r>
        <w:t xml:space="preserve">. Furthermore, it is essential to consider other application and transport layer protocol suites besides HTTP/TCP for the emerging mission-critical communication applications. </w:t>
      </w:r>
      <w:r w:rsidR="00364BEA">
        <w:t>Hence, we propose,</w:t>
      </w:r>
    </w:p>
    <w:p w14:paraId="691D277A" w14:textId="2C10A4B4" w:rsidR="008F66DF" w:rsidRDefault="008F66DF" w:rsidP="008F66DF">
      <w:pPr>
        <w:pStyle w:val="Proposal"/>
        <w:numPr>
          <w:ilvl w:val="0"/>
          <w:numId w:val="25"/>
        </w:numPr>
        <w:tabs>
          <w:tab w:val="clear" w:pos="1304"/>
          <w:tab w:val="num" w:pos="1701"/>
        </w:tabs>
        <w:ind w:left="1701" w:hanging="1701"/>
      </w:pPr>
      <w:bookmarkStart w:id="5" w:name="_Toc419483748"/>
      <w:bookmarkStart w:id="6" w:name="_Toc419483804"/>
      <w:r>
        <w:t xml:space="preserve">RAN2 should </w:t>
      </w:r>
      <w:r w:rsidR="00A62B49">
        <w:t>consider</w:t>
      </w:r>
      <w:r>
        <w:t xml:space="preserve"> the use case of m</w:t>
      </w:r>
      <w:r w:rsidRPr="008F66DF">
        <w:t>ission-critical communication application</w:t>
      </w:r>
      <w:r>
        <w:t xml:space="preserve"> </w:t>
      </w:r>
      <w:r w:rsidR="00A62B49">
        <w:t>and</w:t>
      </w:r>
      <w:r>
        <w:t xml:space="preserve"> analyse potential improvements</w:t>
      </w:r>
      <w:r w:rsidR="009F1B06">
        <w:t xml:space="preserve"> in latency and reliability</w:t>
      </w:r>
      <w:r>
        <w:t xml:space="preserve"> that LTE can offer</w:t>
      </w:r>
      <w:r w:rsidRPr="008340BC">
        <w:t>.</w:t>
      </w:r>
      <w:bookmarkEnd w:id="5"/>
      <w:bookmarkEnd w:id="6"/>
      <w:r>
        <w:t xml:space="preserve"> </w:t>
      </w:r>
    </w:p>
    <w:p w14:paraId="1E805688" w14:textId="77777777" w:rsidR="008F66DF" w:rsidRDefault="008F66DF" w:rsidP="008F66DF">
      <w:pPr>
        <w:pStyle w:val="Proposal"/>
        <w:numPr>
          <w:ilvl w:val="0"/>
          <w:numId w:val="25"/>
        </w:numPr>
        <w:tabs>
          <w:tab w:val="clear" w:pos="1304"/>
          <w:tab w:val="num" w:pos="1701"/>
        </w:tabs>
        <w:ind w:left="1701" w:hanging="1701"/>
      </w:pPr>
      <w:bookmarkStart w:id="7" w:name="_Toc419483749"/>
      <w:bookmarkStart w:id="8" w:name="_Toc419483805"/>
      <w:r>
        <w:t>RAN2 should consider other application and transport layer protocol suites besides HTTP/TCP for the emerging mission-critical communication applications.</w:t>
      </w:r>
      <w:bookmarkEnd w:id="7"/>
      <w:bookmarkEnd w:id="8"/>
      <w:r>
        <w:t xml:space="preserve"> </w:t>
      </w:r>
    </w:p>
    <w:p w14:paraId="3C845667" w14:textId="77777777" w:rsidR="00ED5880" w:rsidRDefault="00ED5880" w:rsidP="00ED5880">
      <w:pPr>
        <w:pStyle w:val="Proposal"/>
        <w:numPr>
          <w:ilvl w:val="0"/>
          <w:numId w:val="0"/>
        </w:numPr>
        <w:tabs>
          <w:tab w:val="clear" w:pos="1701"/>
        </w:tabs>
      </w:pPr>
    </w:p>
    <w:p w14:paraId="3BF393B2" w14:textId="77777777" w:rsidR="00ED5880" w:rsidRDefault="009F6797" w:rsidP="00ED5880">
      <w:pPr>
        <w:jc w:val="center"/>
      </w:pPr>
      <w:r>
        <w:rPr>
          <w:noProof/>
          <w:lang w:val="en-US" w:eastAsia="en-US"/>
        </w:rPr>
        <w:drawing>
          <wp:inline distT="0" distB="0" distL="0" distR="0" wp14:anchorId="66A8F872" wp14:editId="7B5012DD">
            <wp:extent cx="3105150" cy="1940720"/>
            <wp:effectExtent l="0" t="0" r="0" b="254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12515" cy="1945323"/>
                    </a:xfrm>
                    <a:prstGeom prst="rect">
                      <a:avLst/>
                    </a:prstGeom>
                    <a:noFill/>
                  </pic:spPr>
                </pic:pic>
              </a:graphicData>
            </a:graphic>
          </wp:inline>
        </w:drawing>
      </w:r>
    </w:p>
    <w:p w14:paraId="0A75EB2F" w14:textId="77777777" w:rsidR="00ED5880" w:rsidRDefault="00ED5880" w:rsidP="00ED5880">
      <w:pPr>
        <w:rPr>
          <w:b/>
        </w:rPr>
      </w:pPr>
      <w:r w:rsidRPr="007160DF">
        <w:rPr>
          <w:b/>
        </w:rPr>
        <w:t xml:space="preserve">Figure </w:t>
      </w:r>
      <w:r>
        <w:rPr>
          <w:b/>
        </w:rPr>
        <w:t>4</w:t>
      </w:r>
      <w:r w:rsidRPr="007160DF">
        <w:rPr>
          <w:b/>
        </w:rPr>
        <w:t xml:space="preserve">. The </w:t>
      </w:r>
      <w:r>
        <w:rPr>
          <w:b/>
        </w:rPr>
        <w:t xml:space="preserve">illustration of a vehicular augmented reality application where very low latencies </w:t>
      </w:r>
      <w:r w:rsidR="000917C2">
        <w:rPr>
          <w:b/>
        </w:rPr>
        <w:t xml:space="preserve">are </w:t>
      </w:r>
      <w:r w:rsidR="00905B03">
        <w:rPr>
          <w:b/>
        </w:rPr>
        <w:t>sought</w:t>
      </w:r>
      <w:r>
        <w:rPr>
          <w:b/>
        </w:rPr>
        <w:t xml:space="preserve"> </w:t>
      </w:r>
      <w:r w:rsidR="000917C2">
        <w:rPr>
          <w:b/>
        </w:rPr>
        <w:t>to</w:t>
      </w:r>
      <w:r>
        <w:rPr>
          <w:b/>
        </w:rPr>
        <w:t xml:space="preserve"> meet the </w:t>
      </w:r>
      <w:r w:rsidRPr="00ED5880">
        <w:rPr>
          <w:b/>
        </w:rPr>
        <w:t>reaction time requirement</w:t>
      </w:r>
      <w:r>
        <w:rPr>
          <w:b/>
        </w:rPr>
        <w:t xml:space="preserve"> in </w:t>
      </w:r>
      <w:r w:rsidR="00452428">
        <w:rPr>
          <w:b/>
        </w:rPr>
        <w:t xml:space="preserve">a </w:t>
      </w:r>
      <w:r>
        <w:rPr>
          <w:b/>
        </w:rPr>
        <w:t xml:space="preserve">vehicular </w:t>
      </w:r>
      <w:r w:rsidR="0063339E">
        <w:rPr>
          <w:b/>
        </w:rPr>
        <w:t>environment</w:t>
      </w:r>
      <w:r w:rsidRPr="007160DF">
        <w:rPr>
          <w:b/>
        </w:rPr>
        <w:t xml:space="preserve">.  </w:t>
      </w:r>
    </w:p>
    <w:p w14:paraId="68CC238B" w14:textId="77777777" w:rsidR="00D70B55" w:rsidRDefault="00DE2527" w:rsidP="00D70B55">
      <w:pPr>
        <w:pStyle w:val="Heading2"/>
      </w:pPr>
      <w:r>
        <w:t>Implications</w:t>
      </w:r>
    </w:p>
    <w:p w14:paraId="7A7C718C" w14:textId="77777777" w:rsidR="00D70B55" w:rsidRDefault="00D70B55" w:rsidP="00D70B55">
      <w:r>
        <w:t xml:space="preserve">In the studies, three main improvement areas, which are also illustrated in Figure </w:t>
      </w:r>
      <w:r w:rsidR="00ED5880">
        <w:t>5</w:t>
      </w:r>
      <w:r>
        <w:t xml:space="preserve">, need to be considered </w:t>
      </w:r>
      <w:r w:rsidRPr="00FD2354">
        <w:t>for LTE latency reductions</w:t>
      </w:r>
      <w:r>
        <w:t xml:space="preserve">:  </w:t>
      </w:r>
    </w:p>
    <w:p w14:paraId="131CF0D6" w14:textId="77777777" w:rsidR="00D70B55" w:rsidRPr="004A7D56" w:rsidRDefault="00D70B55" w:rsidP="00D70B55">
      <w:pPr>
        <w:numPr>
          <w:ilvl w:val="0"/>
          <w:numId w:val="20"/>
        </w:numPr>
        <w:ind w:left="567" w:hanging="207"/>
        <w:rPr>
          <w:lang w:val="en-US"/>
        </w:rPr>
      </w:pPr>
      <w:r w:rsidRPr="004A7D56">
        <w:rPr>
          <w:lang w:val="en-US"/>
        </w:rPr>
        <w:t xml:space="preserve">the uplink access procedure that starts with the need for a </w:t>
      </w:r>
      <w:r>
        <w:rPr>
          <w:lang w:val="en-US"/>
        </w:rPr>
        <w:t>user equipment (</w:t>
      </w:r>
      <w:r w:rsidRPr="004A7D56">
        <w:rPr>
          <w:lang w:val="en-US"/>
        </w:rPr>
        <w:t>UE</w:t>
      </w:r>
      <w:r>
        <w:rPr>
          <w:lang w:val="en-US"/>
        </w:rPr>
        <w:t>)</w:t>
      </w:r>
      <w:r w:rsidRPr="004A7D56">
        <w:rPr>
          <w:lang w:val="en-US"/>
        </w:rPr>
        <w:t xml:space="preserve"> to request the permission of the base station to send i.e.</w:t>
      </w:r>
      <w:r>
        <w:rPr>
          <w:lang w:val="en-US"/>
        </w:rPr>
        <w:t>,</w:t>
      </w:r>
      <w:r w:rsidRPr="004A7D56">
        <w:rPr>
          <w:lang w:val="en-US"/>
        </w:rPr>
        <w:t xml:space="preserve"> the Scheduling Request (SR) procedure,</w:t>
      </w:r>
    </w:p>
    <w:p w14:paraId="585007A6" w14:textId="77777777" w:rsidR="00D70B55" w:rsidRPr="004A7D56" w:rsidRDefault="00D70B55" w:rsidP="00D70B55">
      <w:pPr>
        <w:numPr>
          <w:ilvl w:val="0"/>
          <w:numId w:val="20"/>
        </w:numPr>
        <w:ind w:left="567" w:hanging="207"/>
        <w:rPr>
          <w:lang w:val="en-US"/>
        </w:rPr>
      </w:pPr>
      <w:r w:rsidRPr="004A7D56">
        <w:rPr>
          <w:lang w:val="en-US"/>
        </w:rPr>
        <w:t xml:space="preserve">the standardized processing times in LTE that stipulate that for instance retransmissions of data will (at least) take 8 </w:t>
      </w:r>
      <w:proofErr w:type="spellStart"/>
      <w:r w:rsidRPr="004A7D56">
        <w:rPr>
          <w:lang w:val="en-US"/>
        </w:rPr>
        <w:t>ms</w:t>
      </w:r>
      <w:proofErr w:type="spellEnd"/>
      <w:r w:rsidRPr="004A7D56">
        <w:rPr>
          <w:lang w:val="en-US"/>
        </w:rPr>
        <w:t>, and</w:t>
      </w:r>
    </w:p>
    <w:p w14:paraId="11425734" w14:textId="77777777" w:rsidR="00D70B55" w:rsidRPr="004A7D56" w:rsidRDefault="00D70B55" w:rsidP="00D70B55">
      <w:pPr>
        <w:numPr>
          <w:ilvl w:val="0"/>
          <w:numId w:val="20"/>
        </w:numPr>
        <w:ind w:left="567" w:hanging="207"/>
        <w:rPr>
          <w:lang w:val="en-US"/>
        </w:rPr>
      </w:pPr>
      <w:r w:rsidRPr="004A7D56">
        <w:rPr>
          <w:lang w:val="en-US"/>
        </w:rPr>
        <w:t>the current transmis</w:t>
      </w:r>
      <w:r>
        <w:rPr>
          <w:lang w:val="en-US"/>
        </w:rPr>
        <w:t>sion time interval (TTI) of 1 ms.</w:t>
      </w:r>
    </w:p>
    <w:p w14:paraId="39182EF2" w14:textId="480DEBDA" w:rsidR="00F84FB3" w:rsidRDefault="00F84FB3" w:rsidP="00F84FB3">
      <w:r>
        <w:t xml:space="preserve">Each improvement area </w:t>
      </w:r>
      <w:r w:rsidR="00A62B49">
        <w:t>could be</w:t>
      </w:r>
      <w:r>
        <w:t xml:space="preserve"> coupled with a latency reduction technique. These techniques impact the UE and network by the aspects of complexity, energy-consumption and signalling overhead. Furthermore, each use case has a different tolerance to those </w:t>
      </w:r>
      <w:r w:rsidR="00364BEA">
        <w:t>implications</w:t>
      </w:r>
      <w:r>
        <w:t xml:space="preserve">. For instance, the devices that are to run mission-critical communication applications can be more </w:t>
      </w:r>
      <w:r w:rsidR="008700F7">
        <w:t xml:space="preserve">tolerant compared to </w:t>
      </w:r>
      <w:r>
        <w:t>other use cases. Hence, we propose,</w:t>
      </w:r>
    </w:p>
    <w:p w14:paraId="6FCDD792" w14:textId="3432A60C" w:rsidR="00F84FB3" w:rsidRDefault="008700F7" w:rsidP="00F84FB3">
      <w:pPr>
        <w:pStyle w:val="Proposal"/>
        <w:numPr>
          <w:ilvl w:val="0"/>
          <w:numId w:val="3"/>
        </w:numPr>
        <w:tabs>
          <w:tab w:val="clear" w:pos="1304"/>
        </w:tabs>
        <w:ind w:left="1701" w:hanging="1701"/>
      </w:pPr>
      <w:bookmarkStart w:id="9" w:name="_Toc419483750"/>
      <w:bookmarkStart w:id="10" w:name="_Toc419483806"/>
      <w:r>
        <w:t xml:space="preserve">Aspects </w:t>
      </w:r>
      <w:r w:rsidR="00F84FB3">
        <w:t>of complexity, energy-consumption and signalling overhead should be considered.</w:t>
      </w:r>
      <w:bookmarkEnd w:id="9"/>
      <w:bookmarkEnd w:id="10"/>
    </w:p>
    <w:p w14:paraId="46D3FE30" w14:textId="77777777" w:rsidR="009F6797" w:rsidRDefault="009F6797" w:rsidP="009F6797">
      <w:pPr>
        <w:pStyle w:val="Proposal"/>
        <w:numPr>
          <w:ilvl w:val="0"/>
          <w:numId w:val="0"/>
        </w:numPr>
        <w:ind w:left="1701"/>
      </w:pPr>
    </w:p>
    <w:p w14:paraId="4DCB64E8" w14:textId="77777777" w:rsidR="00D70B55" w:rsidRDefault="00D70B55" w:rsidP="00ED5880">
      <w:pPr>
        <w:jc w:val="center"/>
        <w:rPr>
          <w:b/>
        </w:rPr>
      </w:pPr>
      <w:r>
        <w:object w:dxaOrig="12816" w:dyaOrig="8220" w14:anchorId="49F0A6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pt;height:247pt" o:ole="">
            <v:imagedata r:id="rId12" o:title=""/>
          </v:shape>
          <o:OLEObject Type="Embed" ProgID="Visio.Drawing.11" ShapeID="_x0000_i1025" DrawAspect="Content" ObjectID="_1367082535" r:id="rId13"/>
        </w:object>
      </w:r>
    </w:p>
    <w:p w14:paraId="0EEB0096" w14:textId="77777777" w:rsidR="00D70B55" w:rsidRDefault="00D70B55" w:rsidP="00D70B55">
      <w:pPr>
        <w:rPr>
          <w:b/>
        </w:rPr>
      </w:pPr>
      <w:r w:rsidRPr="00B027EB">
        <w:rPr>
          <w:b/>
        </w:rPr>
        <w:t>Figure</w:t>
      </w:r>
      <w:r>
        <w:rPr>
          <w:b/>
        </w:rPr>
        <w:t xml:space="preserve"> </w:t>
      </w:r>
      <w:r w:rsidR="00F84FB3">
        <w:rPr>
          <w:b/>
        </w:rPr>
        <w:t>5</w:t>
      </w:r>
      <w:r w:rsidRPr="00B027EB">
        <w:rPr>
          <w:b/>
        </w:rPr>
        <w:t xml:space="preserve">. </w:t>
      </w:r>
      <w:r w:rsidR="00DE2527">
        <w:rPr>
          <w:b/>
        </w:rPr>
        <w:t xml:space="preserve">Areas and associated </w:t>
      </w:r>
      <w:r w:rsidR="00DE2527" w:rsidRPr="00DE2527">
        <w:rPr>
          <w:b/>
        </w:rPr>
        <w:t>latency reduction technique</w:t>
      </w:r>
      <w:r w:rsidR="00DE2527">
        <w:rPr>
          <w:b/>
        </w:rPr>
        <w:t>s</w:t>
      </w:r>
      <w:r w:rsidR="00DE2527" w:rsidRPr="00DE2527">
        <w:rPr>
          <w:b/>
        </w:rPr>
        <w:t xml:space="preserve"> </w:t>
      </w:r>
      <w:r w:rsidRPr="00B027EB">
        <w:rPr>
          <w:b/>
        </w:rPr>
        <w:t xml:space="preserve">that </w:t>
      </w:r>
      <w:r>
        <w:rPr>
          <w:b/>
        </w:rPr>
        <w:t>need to</w:t>
      </w:r>
      <w:r w:rsidRPr="00B027EB">
        <w:rPr>
          <w:b/>
        </w:rPr>
        <w:t xml:space="preserve"> be addressed for LTE latency reduction</w:t>
      </w:r>
      <w:r w:rsidR="00DE2527">
        <w:rPr>
          <w:b/>
        </w:rPr>
        <w:t xml:space="preserve"> studies</w:t>
      </w:r>
      <w:r w:rsidRPr="00B027EB">
        <w:rPr>
          <w:b/>
        </w:rPr>
        <w:t xml:space="preserve">. </w:t>
      </w:r>
    </w:p>
    <w:p w14:paraId="688227F9" w14:textId="77777777" w:rsidR="00D70B55" w:rsidRDefault="00D70B55" w:rsidP="00D70B55"/>
    <w:p w14:paraId="64445F1C" w14:textId="77777777" w:rsidR="00D70B55" w:rsidRPr="00CE0424" w:rsidRDefault="00D70B55" w:rsidP="00D70B55">
      <w:pPr>
        <w:pStyle w:val="Heading1"/>
      </w:pPr>
      <w:r w:rsidRPr="00CE0424">
        <w:t>Conclusion</w:t>
      </w:r>
    </w:p>
    <w:p w14:paraId="5FDE702D" w14:textId="77777777" w:rsidR="008700F7" w:rsidRDefault="00D70B55" w:rsidP="00D70B55">
      <w:pPr>
        <w:rPr>
          <w:lang w:val="en-US"/>
        </w:rPr>
      </w:pPr>
      <w:bookmarkStart w:id="11" w:name="_In-sequence_SDU_delivery"/>
      <w:bookmarkEnd w:id="11"/>
      <w:r w:rsidRPr="002E0E54">
        <w:rPr>
          <w:lang w:val="en-US"/>
        </w:rPr>
        <w:t xml:space="preserve">In this contribution </w:t>
      </w:r>
      <w:r>
        <w:rPr>
          <w:lang w:val="en-US"/>
        </w:rPr>
        <w:t>w</w:t>
      </w:r>
      <w:r w:rsidRPr="002E0E54">
        <w:rPr>
          <w:lang w:val="en-US"/>
        </w:rPr>
        <w:t xml:space="preserve">e discussed </w:t>
      </w:r>
      <w:r>
        <w:rPr>
          <w:lang w:val="en-US"/>
        </w:rPr>
        <w:t>the important use cases as well as major aspects needs to be considered within the studies on latency reductions</w:t>
      </w:r>
      <w:r w:rsidRPr="002E0E54">
        <w:rPr>
          <w:lang w:val="en-US"/>
        </w:rPr>
        <w:t>:</w:t>
      </w:r>
    </w:p>
    <w:p w14:paraId="4CAD134D" w14:textId="77777777" w:rsidR="00E15978" w:rsidRPr="00EA31E4" w:rsidRDefault="00E15978">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t>Proposal 1</w:t>
      </w:r>
      <w:r w:rsidRPr="00EA31E4">
        <w:rPr>
          <w:rFonts w:asciiTheme="minorHAnsi" w:eastAsiaTheme="minorEastAsia" w:hAnsiTheme="minorHAnsi" w:cstheme="minorBidi"/>
          <w:b w:val="0"/>
          <w:sz w:val="22"/>
          <w:lang w:eastAsia="sv-SE"/>
        </w:rPr>
        <w:tab/>
      </w:r>
      <w:r>
        <w:t>RAN2 should consider the web application (HTTP/TCP) use case and analyse the possible gains in the performance metrics of delay and perceived data rate for TCP based data transactions.</w:t>
      </w:r>
    </w:p>
    <w:p w14:paraId="26CA5DD8" w14:textId="77777777" w:rsidR="00E15978" w:rsidRPr="00EA31E4" w:rsidRDefault="00E15978">
      <w:pPr>
        <w:pStyle w:val="TOC1"/>
        <w:rPr>
          <w:rFonts w:asciiTheme="minorHAnsi" w:eastAsiaTheme="minorEastAsia" w:hAnsiTheme="minorHAnsi" w:cstheme="minorBidi"/>
          <w:b w:val="0"/>
          <w:sz w:val="22"/>
          <w:lang w:eastAsia="sv-SE"/>
        </w:rPr>
      </w:pPr>
      <w:r>
        <w:t>Proposal 2</w:t>
      </w:r>
      <w:r w:rsidRPr="00EA31E4">
        <w:rPr>
          <w:rFonts w:asciiTheme="minorHAnsi" w:eastAsiaTheme="minorEastAsia" w:hAnsiTheme="minorHAnsi" w:cstheme="minorBidi"/>
          <w:b w:val="0"/>
          <w:sz w:val="22"/>
          <w:lang w:eastAsia="sv-SE"/>
        </w:rPr>
        <w:tab/>
      </w:r>
      <w:r>
        <w:t>RAN2 should consider real-time application use case and analyse the possible gains in delay, service coverage and system capacity.</w:t>
      </w:r>
    </w:p>
    <w:p w14:paraId="3C7EFE63" w14:textId="77777777" w:rsidR="00E15978" w:rsidRPr="00EA31E4" w:rsidRDefault="00E15978">
      <w:pPr>
        <w:pStyle w:val="TOC1"/>
        <w:rPr>
          <w:rFonts w:asciiTheme="minorHAnsi" w:eastAsiaTheme="minorEastAsia" w:hAnsiTheme="minorHAnsi" w:cstheme="minorBidi"/>
          <w:b w:val="0"/>
          <w:sz w:val="22"/>
          <w:lang w:eastAsia="sv-SE"/>
        </w:rPr>
      </w:pPr>
      <w:r>
        <w:t>Proposal 3</w:t>
      </w:r>
      <w:r w:rsidRPr="00EA31E4">
        <w:rPr>
          <w:rFonts w:asciiTheme="minorHAnsi" w:eastAsiaTheme="minorEastAsia" w:hAnsiTheme="minorHAnsi" w:cstheme="minorBidi"/>
          <w:b w:val="0"/>
          <w:sz w:val="22"/>
          <w:lang w:eastAsia="sv-SE"/>
        </w:rPr>
        <w:tab/>
      </w:r>
      <w:r>
        <w:t>RAN2 should consider the use case of mission-critical communication application and analyse potential improvements in latency and reliability that LTE can offer.</w:t>
      </w:r>
    </w:p>
    <w:p w14:paraId="6EF1EA6A" w14:textId="77777777" w:rsidR="00E15978" w:rsidRPr="00EA31E4" w:rsidRDefault="00E15978">
      <w:pPr>
        <w:pStyle w:val="TOC1"/>
        <w:rPr>
          <w:rFonts w:asciiTheme="minorHAnsi" w:eastAsiaTheme="minorEastAsia" w:hAnsiTheme="minorHAnsi" w:cstheme="minorBidi"/>
          <w:b w:val="0"/>
          <w:sz w:val="22"/>
          <w:lang w:eastAsia="sv-SE"/>
        </w:rPr>
      </w:pPr>
      <w:r>
        <w:t>Proposal 4</w:t>
      </w:r>
      <w:r w:rsidRPr="00EA31E4">
        <w:rPr>
          <w:rFonts w:asciiTheme="minorHAnsi" w:eastAsiaTheme="minorEastAsia" w:hAnsiTheme="minorHAnsi" w:cstheme="minorBidi"/>
          <w:b w:val="0"/>
          <w:sz w:val="22"/>
          <w:lang w:eastAsia="sv-SE"/>
        </w:rPr>
        <w:tab/>
      </w:r>
      <w:r>
        <w:t>RAN2 should consider other application and transport layer protocol suites besides HTTP/TCP for the emerging mission-critical communication applications.</w:t>
      </w:r>
    </w:p>
    <w:p w14:paraId="51BAC52A" w14:textId="77777777" w:rsidR="00E15978" w:rsidRPr="00EA31E4" w:rsidRDefault="00E15978">
      <w:pPr>
        <w:pStyle w:val="TOC1"/>
        <w:rPr>
          <w:rFonts w:asciiTheme="minorHAnsi" w:eastAsiaTheme="minorEastAsia" w:hAnsiTheme="minorHAnsi" w:cstheme="minorBidi"/>
          <w:b w:val="0"/>
          <w:sz w:val="22"/>
          <w:lang w:eastAsia="sv-SE"/>
        </w:rPr>
      </w:pPr>
      <w:r>
        <w:t>Proposal 5</w:t>
      </w:r>
      <w:r w:rsidRPr="00EA31E4">
        <w:rPr>
          <w:rFonts w:asciiTheme="minorHAnsi" w:eastAsiaTheme="minorEastAsia" w:hAnsiTheme="minorHAnsi" w:cstheme="minorBidi"/>
          <w:b w:val="0"/>
          <w:sz w:val="22"/>
          <w:lang w:eastAsia="sv-SE"/>
        </w:rPr>
        <w:tab/>
      </w:r>
      <w:r>
        <w:t>Aspects of complexity, energy-consumption and signalling overhead should be considered.</w:t>
      </w:r>
    </w:p>
    <w:p w14:paraId="2E01A557" w14:textId="1618DCC0" w:rsidR="00D70B55" w:rsidRDefault="00E15978" w:rsidP="00E15978">
      <w:pPr>
        <w:rPr>
          <w:lang w:val="en-US"/>
        </w:rPr>
      </w:pPr>
      <w:r>
        <w:rPr>
          <w:b/>
          <w:bCs/>
        </w:rPr>
        <w:fldChar w:fldCharType="end"/>
      </w:r>
    </w:p>
    <w:p w14:paraId="64E31D91" w14:textId="77777777" w:rsidR="00D70B55" w:rsidRPr="00CE0424" w:rsidRDefault="00D70B55" w:rsidP="00D70B55">
      <w:pPr>
        <w:pStyle w:val="Heading1"/>
      </w:pPr>
      <w:r w:rsidRPr="00CE0424">
        <w:t>References</w:t>
      </w:r>
    </w:p>
    <w:p w14:paraId="77F220BC" w14:textId="3BBD4581" w:rsidR="00D70B55" w:rsidRDefault="00A2152A" w:rsidP="00D70B55">
      <w:pPr>
        <w:pStyle w:val="Reference"/>
      </w:pPr>
      <w:bookmarkStart w:id="12" w:name="_Ref293297352"/>
      <w:bookmarkStart w:id="13" w:name="_Ref419119662"/>
      <w:bookmarkStart w:id="14" w:name="_Ref418777976"/>
      <w:bookmarkStart w:id="15" w:name="_Ref174151459"/>
      <w:bookmarkStart w:id="16" w:name="_Ref189809556"/>
      <w:r w:rsidRPr="00A2152A">
        <w:t>RP-150465, Study on Latency reduction techniques for LTE, Ericsson</w:t>
      </w:r>
      <w:r w:rsidR="005C119A">
        <w:t>, Huawei</w:t>
      </w:r>
      <w:r w:rsidRPr="00A2152A">
        <w:t>, RAN#67</w:t>
      </w:r>
      <w:bookmarkEnd w:id="12"/>
      <w:bookmarkEnd w:id="13"/>
    </w:p>
    <w:p w14:paraId="1EDEBD11" w14:textId="4203BAC5" w:rsidR="00D70B55" w:rsidRDefault="00D70B55" w:rsidP="00D70B55">
      <w:pPr>
        <w:pStyle w:val="Reference"/>
      </w:pPr>
      <w:bookmarkStart w:id="17" w:name="_Ref419119778"/>
      <w:r>
        <w:t xml:space="preserve">HTTP Archive, </w:t>
      </w:r>
      <w:hyperlink r:id="rId14" w:history="1">
        <w:r w:rsidR="008700F7" w:rsidRPr="009353EF">
          <w:rPr>
            <w:rStyle w:val="Hyperlink"/>
          </w:rPr>
          <w:t>http://httparchive.org/trends.php</w:t>
        </w:r>
      </w:hyperlink>
      <w:bookmarkEnd w:id="14"/>
      <w:bookmarkEnd w:id="17"/>
      <w:r w:rsidR="008700F7">
        <w:t>, May 2015</w:t>
      </w:r>
    </w:p>
    <w:p w14:paraId="6207F6E3" w14:textId="77777777" w:rsidR="00D70B55" w:rsidRDefault="00D70B55" w:rsidP="00D70B55">
      <w:pPr>
        <w:pStyle w:val="Reference"/>
      </w:pPr>
      <w:bookmarkStart w:id="18" w:name="_Ref408786436"/>
      <w:r w:rsidRPr="00EB399E">
        <w:t>GSMA Intelligence, “Understanding 5G: Perspectives on future technological advancements in mobile,” analysis report, December 2014.</w:t>
      </w:r>
      <w:bookmarkEnd w:id="18"/>
    </w:p>
    <w:p w14:paraId="765FC562" w14:textId="2A40BA25" w:rsidR="003A7EF3" w:rsidRPr="00D70B55" w:rsidRDefault="00D70B55" w:rsidP="003C17B1">
      <w:pPr>
        <w:pStyle w:val="Reference"/>
      </w:pPr>
      <w:bookmarkStart w:id="19" w:name="_Ref418777991"/>
      <w:r>
        <w:t>ITU-T, “The Tactile Internet”, Technology Watch Report, August 2014. http://www.itu.int/en/ITU-T/techwatch/Pages/tactile-internet.aspx</w:t>
      </w:r>
      <w:bookmarkEnd w:id="19"/>
      <w:r w:rsidR="003C17B1">
        <w:t>.</w:t>
      </w:r>
      <w:bookmarkEnd w:id="15"/>
      <w:bookmarkEnd w:id="16"/>
    </w:p>
    <w:sectPr w:rsidR="003A7EF3" w:rsidRPr="00D70B55">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5B6FEB" w14:textId="77777777" w:rsidR="00A32074" w:rsidRDefault="00A32074">
      <w:r>
        <w:separator/>
      </w:r>
    </w:p>
  </w:endnote>
  <w:endnote w:type="continuationSeparator" w:id="0">
    <w:p w14:paraId="743281BD" w14:textId="77777777" w:rsidR="00A32074" w:rsidRDefault="00A320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AFF" w:usb1="C000605B" w:usb2="00000029" w:usb3="00000000" w:csb0="000101FF" w:csb1="00000000"/>
  </w:font>
  <w:font w:name="Calibri">
    <w:panose1 w:val="020F0502020204030204"/>
    <w:charset w:val="00"/>
    <w:family w:val="auto"/>
    <w:pitch w:val="variable"/>
    <w:sig w:usb0="E10002FF" w:usb1="4000ACFF" w:usb2="00000009" w:usb3="00000000" w:csb0="0000019F" w:csb1="00000000"/>
  </w:font>
  <w:font w:name="MS Mincho">
    <w:altName w:val="ＭＳ 明朝"/>
    <w:charset w:val="80"/>
    <w:family w:val="modern"/>
    <w:pitch w:val="fixed"/>
    <w:sig w:usb0="E00002FF" w:usb1="6AC7FDFB" w:usb2="00000012" w:usb3="00000000" w:csb0="0002009F" w:csb1="00000000"/>
  </w:font>
  <w:font w:name="ＭＳ 明朝">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693AF7" w14:textId="77777777" w:rsidR="00801B9E" w:rsidRDefault="00801B9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A31E4">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A31E4">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51A7D5" w14:textId="77777777" w:rsidR="00A32074" w:rsidRDefault="00A32074">
      <w:r>
        <w:separator/>
      </w:r>
    </w:p>
  </w:footnote>
  <w:footnote w:type="continuationSeparator" w:id="0">
    <w:p w14:paraId="3848CE2A" w14:textId="77777777" w:rsidR="00A32074" w:rsidRDefault="00A32074">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7D4EC4" w14:textId="77777777" w:rsidR="00801B9E" w:rsidRDefault="00801B9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127EBA4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C1BCE4A8"/>
    <w:lvl w:ilvl="0">
      <w:start w:val="1"/>
      <w:numFmt w:val="decimal"/>
      <w:lvlText w:val="%1."/>
      <w:lvlJc w:val="left"/>
      <w:pPr>
        <w:tabs>
          <w:tab w:val="num" w:pos="1492"/>
        </w:tabs>
        <w:ind w:left="1492" w:hanging="360"/>
      </w:pPr>
    </w:lvl>
  </w:abstractNum>
  <w:abstractNum w:abstractNumId="2">
    <w:nsid w:val="FFFFFF7D"/>
    <w:multiLevelType w:val="singleLevel"/>
    <w:tmpl w:val="1E064E56"/>
    <w:lvl w:ilvl="0">
      <w:start w:val="1"/>
      <w:numFmt w:val="decimal"/>
      <w:lvlText w:val="%1."/>
      <w:lvlJc w:val="left"/>
      <w:pPr>
        <w:tabs>
          <w:tab w:val="num" w:pos="1209"/>
        </w:tabs>
        <w:ind w:left="1209" w:hanging="360"/>
      </w:pPr>
    </w:lvl>
  </w:abstractNum>
  <w:abstractNum w:abstractNumId="3">
    <w:nsid w:val="FFFFFF7E"/>
    <w:multiLevelType w:val="singleLevel"/>
    <w:tmpl w:val="0A54A8D2"/>
    <w:lvl w:ilvl="0">
      <w:start w:val="1"/>
      <w:numFmt w:val="decimal"/>
      <w:lvlText w:val="%1."/>
      <w:lvlJc w:val="left"/>
      <w:pPr>
        <w:tabs>
          <w:tab w:val="num" w:pos="926"/>
        </w:tabs>
        <w:ind w:left="926" w:hanging="360"/>
      </w:pPr>
    </w:lvl>
  </w:abstractNum>
  <w:abstractNum w:abstractNumId="4">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0AD7196D"/>
    <w:multiLevelType w:val="hybridMultilevel"/>
    <w:tmpl w:val="5F1C2D5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0E557A59"/>
    <w:multiLevelType w:val="hybridMultilevel"/>
    <w:tmpl w:val="FE7A2C6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nsid w:val="2193368C"/>
    <w:multiLevelType w:val="hybridMultilevel"/>
    <w:tmpl w:val="8A50BE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nsid w:val="3FFF530C"/>
    <w:multiLevelType w:val="hybridMultilevel"/>
    <w:tmpl w:val="93A6D77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4">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A945895"/>
    <w:multiLevelType w:val="hybridMultilevel"/>
    <w:tmpl w:val="2DDEE356"/>
    <w:lvl w:ilvl="0" w:tplc="041D0001">
      <w:start w:val="1"/>
      <w:numFmt w:val="bullet"/>
      <w:lvlText w:val=""/>
      <w:lvlJc w:val="left"/>
      <w:pPr>
        <w:ind w:left="927" w:hanging="360"/>
      </w:pPr>
      <w:rPr>
        <w:rFonts w:ascii="Symbol" w:hAnsi="Symbol"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6">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CBD4196"/>
    <w:multiLevelType w:val="hybridMultilevel"/>
    <w:tmpl w:val="90BE41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0">
    <w:nsid w:val="531340C2"/>
    <w:multiLevelType w:val="hybridMultilevel"/>
    <w:tmpl w:val="2CBCA8A2"/>
    <w:lvl w:ilvl="0" w:tplc="F9A4A57A">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1">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67F55E43"/>
    <w:multiLevelType w:val="hybridMultilevel"/>
    <w:tmpl w:val="0BB6B84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nsid w:val="6A0E6C2A"/>
    <w:multiLevelType w:val="hybridMultilevel"/>
    <w:tmpl w:val="C9AC5828"/>
    <w:lvl w:ilvl="0" w:tplc="040B0001">
      <w:start w:val="1"/>
      <w:numFmt w:val="bullet"/>
      <w:lvlText w:val=""/>
      <w:lvlJc w:val="left"/>
      <w:pPr>
        <w:ind w:left="840" w:hanging="360"/>
      </w:pPr>
      <w:rPr>
        <w:rFonts w:ascii="Symbol" w:hAnsi="Symbol" w:hint="default"/>
      </w:rPr>
    </w:lvl>
    <w:lvl w:ilvl="1" w:tplc="040B0003" w:tentative="1">
      <w:start w:val="1"/>
      <w:numFmt w:val="bullet"/>
      <w:lvlText w:val="o"/>
      <w:lvlJc w:val="left"/>
      <w:pPr>
        <w:ind w:left="1560" w:hanging="360"/>
      </w:pPr>
      <w:rPr>
        <w:rFonts w:ascii="Courier New" w:hAnsi="Courier New" w:cs="Courier New" w:hint="default"/>
      </w:rPr>
    </w:lvl>
    <w:lvl w:ilvl="2" w:tplc="040B0005" w:tentative="1">
      <w:start w:val="1"/>
      <w:numFmt w:val="bullet"/>
      <w:lvlText w:val=""/>
      <w:lvlJc w:val="left"/>
      <w:pPr>
        <w:ind w:left="2280" w:hanging="360"/>
      </w:pPr>
      <w:rPr>
        <w:rFonts w:ascii="Wingdings" w:hAnsi="Wingdings" w:hint="default"/>
      </w:rPr>
    </w:lvl>
    <w:lvl w:ilvl="3" w:tplc="040B0001" w:tentative="1">
      <w:start w:val="1"/>
      <w:numFmt w:val="bullet"/>
      <w:lvlText w:val=""/>
      <w:lvlJc w:val="left"/>
      <w:pPr>
        <w:ind w:left="3000" w:hanging="360"/>
      </w:pPr>
      <w:rPr>
        <w:rFonts w:ascii="Symbol" w:hAnsi="Symbol" w:hint="default"/>
      </w:rPr>
    </w:lvl>
    <w:lvl w:ilvl="4" w:tplc="040B0003" w:tentative="1">
      <w:start w:val="1"/>
      <w:numFmt w:val="bullet"/>
      <w:lvlText w:val="o"/>
      <w:lvlJc w:val="left"/>
      <w:pPr>
        <w:ind w:left="3720" w:hanging="360"/>
      </w:pPr>
      <w:rPr>
        <w:rFonts w:ascii="Courier New" w:hAnsi="Courier New" w:cs="Courier New" w:hint="default"/>
      </w:rPr>
    </w:lvl>
    <w:lvl w:ilvl="5" w:tplc="040B0005" w:tentative="1">
      <w:start w:val="1"/>
      <w:numFmt w:val="bullet"/>
      <w:lvlText w:val=""/>
      <w:lvlJc w:val="left"/>
      <w:pPr>
        <w:ind w:left="4440" w:hanging="360"/>
      </w:pPr>
      <w:rPr>
        <w:rFonts w:ascii="Wingdings" w:hAnsi="Wingdings" w:hint="default"/>
      </w:rPr>
    </w:lvl>
    <w:lvl w:ilvl="6" w:tplc="040B0001" w:tentative="1">
      <w:start w:val="1"/>
      <w:numFmt w:val="bullet"/>
      <w:lvlText w:val=""/>
      <w:lvlJc w:val="left"/>
      <w:pPr>
        <w:ind w:left="5160" w:hanging="360"/>
      </w:pPr>
      <w:rPr>
        <w:rFonts w:ascii="Symbol" w:hAnsi="Symbol" w:hint="default"/>
      </w:rPr>
    </w:lvl>
    <w:lvl w:ilvl="7" w:tplc="040B0003" w:tentative="1">
      <w:start w:val="1"/>
      <w:numFmt w:val="bullet"/>
      <w:lvlText w:val="o"/>
      <w:lvlJc w:val="left"/>
      <w:pPr>
        <w:ind w:left="5880" w:hanging="360"/>
      </w:pPr>
      <w:rPr>
        <w:rFonts w:ascii="Courier New" w:hAnsi="Courier New" w:cs="Courier New" w:hint="default"/>
      </w:rPr>
    </w:lvl>
    <w:lvl w:ilvl="8" w:tplc="040B0005" w:tentative="1">
      <w:start w:val="1"/>
      <w:numFmt w:val="bullet"/>
      <w:lvlText w:val=""/>
      <w:lvlJc w:val="left"/>
      <w:pPr>
        <w:ind w:left="6600" w:hanging="360"/>
      </w:pPr>
      <w:rPr>
        <w:rFonts w:ascii="Wingdings" w:hAnsi="Wingdings" w:hint="default"/>
      </w:rPr>
    </w:lvl>
  </w:abstractNum>
  <w:num w:numId="1">
    <w:abstractNumId w:val="4"/>
  </w:num>
  <w:num w:numId="2">
    <w:abstractNumId w:val="16"/>
  </w:num>
  <w:num w:numId="3">
    <w:abstractNumId w:val="11"/>
  </w:num>
  <w:num w:numId="4">
    <w:abstractNumId w:val="12"/>
  </w:num>
  <w:num w:numId="5">
    <w:abstractNumId w:val="9"/>
  </w:num>
  <w:num w:numId="6">
    <w:abstractNumId w:val="14"/>
  </w:num>
  <w:num w:numId="7">
    <w:abstractNumId w:val="21"/>
  </w:num>
  <w:num w:numId="8">
    <w:abstractNumId w:val="10"/>
  </w:num>
  <w:num w:numId="9">
    <w:abstractNumId w:val="8"/>
  </w:num>
  <w:num w:numId="10">
    <w:abstractNumId w:val="3"/>
  </w:num>
  <w:num w:numId="11">
    <w:abstractNumId w:val="2"/>
  </w:num>
  <w:num w:numId="12">
    <w:abstractNumId w:val="1"/>
  </w:num>
  <w:num w:numId="13">
    <w:abstractNumId w:val="18"/>
  </w:num>
  <w:num w:numId="14">
    <w:abstractNumId w:val="15"/>
  </w:num>
  <w:num w:numId="15">
    <w:abstractNumId w:val="5"/>
  </w:num>
  <w:num w:numId="16">
    <w:abstractNumId w:val="17"/>
  </w:num>
  <w:num w:numId="17">
    <w:abstractNumId w:val="13"/>
  </w:num>
  <w:num w:numId="18">
    <w:abstractNumId w:val="19"/>
  </w:num>
  <w:num w:numId="19">
    <w:abstractNumId w:val="20"/>
  </w:num>
  <w:num w:numId="20">
    <w:abstractNumId w:val="6"/>
  </w:num>
  <w:num w:numId="21">
    <w:abstractNumId w:val="23"/>
  </w:num>
  <w:num w:numId="22">
    <w:abstractNumId w:val="22"/>
  </w:num>
  <w:num w:numId="23">
    <w:abstractNumId w:val="7"/>
  </w:num>
  <w:num w:numId="24">
    <w:abstractNumId w:val="11"/>
  </w:num>
  <w:num w:numId="25">
    <w:abstractNumId w:val="11"/>
    <w:lvlOverride w:ilvl="0">
      <w:startOverride w:val="1"/>
    </w:lvlOverride>
  </w:num>
  <w:num w:numId="26">
    <w:abstractNumId w:val="11"/>
    <w:lvlOverride w:ilvl="0">
      <w:startOverride w:val="1"/>
    </w:lvlOverride>
  </w:num>
  <w:num w:numId="27">
    <w:abstractNumId w:val="11"/>
    <w:lvlOverride w:ilvl="0">
      <w:startOverride w:val="1"/>
    </w:lvlOverride>
  </w:num>
  <w:num w:numId="28">
    <w:abstractNumId w:val="0"/>
  </w:num>
  <w:num w:numId="29">
    <w:abstractNumId w:val="11"/>
    <w:lvlOverride w:ilvl="0">
      <w:startOverride w:val="1"/>
    </w:lvlOverride>
  </w:num>
  <w:num w:numId="30">
    <w:abstractNumId w:val="11"/>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F45"/>
    <w:rsid w:val="000006E1"/>
    <w:rsid w:val="00002A37"/>
    <w:rsid w:val="000032F4"/>
    <w:rsid w:val="00006446"/>
    <w:rsid w:val="00006896"/>
    <w:rsid w:val="00007CDC"/>
    <w:rsid w:val="00011B28"/>
    <w:rsid w:val="00012CA8"/>
    <w:rsid w:val="00015D15"/>
    <w:rsid w:val="0002564D"/>
    <w:rsid w:val="00025ECA"/>
    <w:rsid w:val="000325B8"/>
    <w:rsid w:val="00034C15"/>
    <w:rsid w:val="00036BA1"/>
    <w:rsid w:val="000422E2"/>
    <w:rsid w:val="00042F22"/>
    <w:rsid w:val="000444EF"/>
    <w:rsid w:val="00052A07"/>
    <w:rsid w:val="000534E3"/>
    <w:rsid w:val="0005606A"/>
    <w:rsid w:val="00057117"/>
    <w:rsid w:val="000609B7"/>
    <w:rsid w:val="000616E7"/>
    <w:rsid w:val="0006487E"/>
    <w:rsid w:val="00065E1A"/>
    <w:rsid w:val="00070FBD"/>
    <w:rsid w:val="00077E5F"/>
    <w:rsid w:val="0008036A"/>
    <w:rsid w:val="00081AE6"/>
    <w:rsid w:val="000855EB"/>
    <w:rsid w:val="00085B52"/>
    <w:rsid w:val="000866F2"/>
    <w:rsid w:val="0009009F"/>
    <w:rsid w:val="00091557"/>
    <w:rsid w:val="000917C2"/>
    <w:rsid w:val="000924C1"/>
    <w:rsid w:val="000924F0"/>
    <w:rsid w:val="00093474"/>
    <w:rsid w:val="0009510F"/>
    <w:rsid w:val="000A1B7B"/>
    <w:rsid w:val="000A36C3"/>
    <w:rsid w:val="000A56F2"/>
    <w:rsid w:val="000B2719"/>
    <w:rsid w:val="000B3A8F"/>
    <w:rsid w:val="000B4AB9"/>
    <w:rsid w:val="000B58C3"/>
    <w:rsid w:val="000B61E9"/>
    <w:rsid w:val="000C165A"/>
    <w:rsid w:val="000C2E19"/>
    <w:rsid w:val="000C3ADE"/>
    <w:rsid w:val="000D0D07"/>
    <w:rsid w:val="000D2D69"/>
    <w:rsid w:val="000D4797"/>
    <w:rsid w:val="000E0527"/>
    <w:rsid w:val="000E1E92"/>
    <w:rsid w:val="000F06D6"/>
    <w:rsid w:val="000F0EB1"/>
    <w:rsid w:val="000F1106"/>
    <w:rsid w:val="000F3BE9"/>
    <w:rsid w:val="000F3F6C"/>
    <w:rsid w:val="000F5E04"/>
    <w:rsid w:val="000F6DF3"/>
    <w:rsid w:val="001005FF"/>
    <w:rsid w:val="00100F45"/>
    <w:rsid w:val="001062FB"/>
    <w:rsid w:val="001063E6"/>
    <w:rsid w:val="00110233"/>
    <w:rsid w:val="00113CF4"/>
    <w:rsid w:val="001153EA"/>
    <w:rsid w:val="00115643"/>
    <w:rsid w:val="001163DE"/>
    <w:rsid w:val="00116765"/>
    <w:rsid w:val="001219F5"/>
    <w:rsid w:val="00121A20"/>
    <w:rsid w:val="0012377F"/>
    <w:rsid w:val="00124314"/>
    <w:rsid w:val="00126B4A"/>
    <w:rsid w:val="00132FD0"/>
    <w:rsid w:val="001344C0"/>
    <w:rsid w:val="001346FA"/>
    <w:rsid w:val="00135252"/>
    <w:rsid w:val="00137728"/>
    <w:rsid w:val="00137AB5"/>
    <w:rsid w:val="00137F0B"/>
    <w:rsid w:val="00143008"/>
    <w:rsid w:val="00151E23"/>
    <w:rsid w:val="001526E0"/>
    <w:rsid w:val="001551B5"/>
    <w:rsid w:val="001659C1"/>
    <w:rsid w:val="00173A8E"/>
    <w:rsid w:val="0018143F"/>
    <w:rsid w:val="00190AC1"/>
    <w:rsid w:val="0019341A"/>
    <w:rsid w:val="001955A4"/>
    <w:rsid w:val="00197DF9"/>
    <w:rsid w:val="001A1987"/>
    <w:rsid w:val="001A2564"/>
    <w:rsid w:val="001A2B06"/>
    <w:rsid w:val="001A6173"/>
    <w:rsid w:val="001A6CBA"/>
    <w:rsid w:val="001B0D97"/>
    <w:rsid w:val="001B5A5D"/>
    <w:rsid w:val="001C1CE5"/>
    <w:rsid w:val="001C3D2A"/>
    <w:rsid w:val="001D51BA"/>
    <w:rsid w:val="001D61A9"/>
    <w:rsid w:val="001D6342"/>
    <w:rsid w:val="001D6D53"/>
    <w:rsid w:val="001E0114"/>
    <w:rsid w:val="001E58E2"/>
    <w:rsid w:val="001E7AED"/>
    <w:rsid w:val="001F2689"/>
    <w:rsid w:val="001F3916"/>
    <w:rsid w:val="001F54C5"/>
    <w:rsid w:val="001F662C"/>
    <w:rsid w:val="001F7074"/>
    <w:rsid w:val="00200490"/>
    <w:rsid w:val="00201F3A"/>
    <w:rsid w:val="00203F96"/>
    <w:rsid w:val="002069B2"/>
    <w:rsid w:val="00207FA3"/>
    <w:rsid w:val="0021200B"/>
    <w:rsid w:val="00214DA8"/>
    <w:rsid w:val="00215423"/>
    <w:rsid w:val="002158FA"/>
    <w:rsid w:val="00220600"/>
    <w:rsid w:val="002224DB"/>
    <w:rsid w:val="00223FCB"/>
    <w:rsid w:val="002252C3"/>
    <w:rsid w:val="00225C54"/>
    <w:rsid w:val="00230765"/>
    <w:rsid w:val="002319E4"/>
    <w:rsid w:val="00235632"/>
    <w:rsid w:val="00235872"/>
    <w:rsid w:val="00236B72"/>
    <w:rsid w:val="00241559"/>
    <w:rsid w:val="002435B3"/>
    <w:rsid w:val="002458EB"/>
    <w:rsid w:val="002500C8"/>
    <w:rsid w:val="00255D91"/>
    <w:rsid w:val="00257543"/>
    <w:rsid w:val="002617E7"/>
    <w:rsid w:val="00264228"/>
    <w:rsid w:val="00264334"/>
    <w:rsid w:val="0026473E"/>
    <w:rsid w:val="00266214"/>
    <w:rsid w:val="00267C83"/>
    <w:rsid w:val="0027144F"/>
    <w:rsid w:val="00271899"/>
    <w:rsid w:val="00271F3A"/>
    <w:rsid w:val="00273278"/>
    <w:rsid w:val="002737F4"/>
    <w:rsid w:val="002805F5"/>
    <w:rsid w:val="00280751"/>
    <w:rsid w:val="00281012"/>
    <w:rsid w:val="0028280A"/>
    <w:rsid w:val="00286ACD"/>
    <w:rsid w:val="00287838"/>
    <w:rsid w:val="002907B5"/>
    <w:rsid w:val="00292EB7"/>
    <w:rsid w:val="00295E23"/>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0E07"/>
    <w:rsid w:val="00301CE6"/>
    <w:rsid w:val="0030256B"/>
    <w:rsid w:val="0030501F"/>
    <w:rsid w:val="00307BA1"/>
    <w:rsid w:val="00311702"/>
    <w:rsid w:val="00311E82"/>
    <w:rsid w:val="00313FD6"/>
    <w:rsid w:val="003140FC"/>
    <w:rsid w:val="003143BD"/>
    <w:rsid w:val="003203ED"/>
    <w:rsid w:val="0032131B"/>
    <w:rsid w:val="00322C9F"/>
    <w:rsid w:val="0032460C"/>
    <w:rsid w:val="00324D23"/>
    <w:rsid w:val="00331751"/>
    <w:rsid w:val="00334579"/>
    <w:rsid w:val="00335858"/>
    <w:rsid w:val="00336BDA"/>
    <w:rsid w:val="00342BD7"/>
    <w:rsid w:val="00346DB5"/>
    <w:rsid w:val="003477B1"/>
    <w:rsid w:val="00357380"/>
    <w:rsid w:val="003602D9"/>
    <w:rsid w:val="003604CE"/>
    <w:rsid w:val="00364BEA"/>
    <w:rsid w:val="00370E47"/>
    <w:rsid w:val="003742AC"/>
    <w:rsid w:val="00377CE1"/>
    <w:rsid w:val="00385BF0"/>
    <w:rsid w:val="00390400"/>
    <w:rsid w:val="003939FF"/>
    <w:rsid w:val="003A2223"/>
    <w:rsid w:val="003A2A0F"/>
    <w:rsid w:val="003A45A1"/>
    <w:rsid w:val="003A5B0A"/>
    <w:rsid w:val="003A6BAC"/>
    <w:rsid w:val="003A7EF3"/>
    <w:rsid w:val="003B159C"/>
    <w:rsid w:val="003B369F"/>
    <w:rsid w:val="003B36A3"/>
    <w:rsid w:val="003B7FE5"/>
    <w:rsid w:val="003C11C8"/>
    <w:rsid w:val="003C17B1"/>
    <w:rsid w:val="003C2702"/>
    <w:rsid w:val="003C672E"/>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AB5"/>
    <w:rsid w:val="00407CD3"/>
    <w:rsid w:val="00410134"/>
    <w:rsid w:val="00410B72"/>
    <w:rsid w:val="00410F18"/>
    <w:rsid w:val="004117A3"/>
    <w:rsid w:val="0041263E"/>
    <w:rsid w:val="00413AAC"/>
    <w:rsid w:val="00421105"/>
    <w:rsid w:val="004242F4"/>
    <w:rsid w:val="00427248"/>
    <w:rsid w:val="00437447"/>
    <w:rsid w:val="00441A92"/>
    <w:rsid w:val="00444F56"/>
    <w:rsid w:val="00446488"/>
    <w:rsid w:val="004517AA"/>
    <w:rsid w:val="00452428"/>
    <w:rsid w:val="00452CAC"/>
    <w:rsid w:val="00457565"/>
    <w:rsid w:val="00457B71"/>
    <w:rsid w:val="004669E2"/>
    <w:rsid w:val="00470C31"/>
    <w:rsid w:val="004734D0"/>
    <w:rsid w:val="0047556B"/>
    <w:rsid w:val="00477768"/>
    <w:rsid w:val="00492BC5"/>
    <w:rsid w:val="004964F1"/>
    <w:rsid w:val="004A16BC"/>
    <w:rsid w:val="004A2B94"/>
    <w:rsid w:val="004A7D56"/>
    <w:rsid w:val="004B7C0C"/>
    <w:rsid w:val="004C379F"/>
    <w:rsid w:val="004C3898"/>
    <w:rsid w:val="004C7E2C"/>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17AD0"/>
    <w:rsid w:val="005219CF"/>
    <w:rsid w:val="00527027"/>
    <w:rsid w:val="00530FD1"/>
    <w:rsid w:val="00534B59"/>
    <w:rsid w:val="00536759"/>
    <w:rsid w:val="00537C62"/>
    <w:rsid w:val="00546970"/>
    <w:rsid w:val="00554E19"/>
    <w:rsid w:val="0056121F"/>
    <w:rsid w:val="00565488"/>
    <w:rsid w:val="00572505"/>
    <w:rsid w:val="00582809"/>
    <w:rsid w:val="0058798C"/>
    <w:rsid w:val="00587FA9"/>
    <w:rsid w:val="005900FA"/>
    <w:rsid w:val="005935A4"/>
    <w:rsid w:val="005948C2"/>
    <w:rsid w:val="00595DCA"/>
    <w:rsid w:val="0059779B"/>
    <w:rsid w:val="005A209A"/>
    <w:rsid w:val="005A662D"/>
    <w:rsid w:val="005A68BA"/>
    <w:rsid w:val="005B04A1"/>
    <w:rsid w:val="005B098B"/>
    <w:rsid w:val="005B35D7"/>
    <w:rsid w:val="005B392A"/>
    <w:rsid w:val="005B3AA3"/>
    <w:rsid w:val="005B6F83"/>
    <w:rsid w:val="005C119A"/>
    <w:rsid w:val="005C1729"/>
    <w:rsid w:val="005C74FB"/>
    <w:rsid w:val="005D1602"/>
    <w:rsid w:val="005D6F32"/>
    <w:rsid w:val="005E385F"/>
    <w:rsid w:val="005E5834"/>
    <w:rsid w:val="005E5B81"/>
    <w:rsid w:val="005F2CB1"/>
    <w:rsid w:val="005F3025"/>
    <w:rsid w:val="005F618C"/>
    <w:rsid w:val="005F70BD"/>
    <w:rsid w:val="00600F6A"/>
    <w:rsid w:val="0060283C"/>
    <w:rsid w:val="00604F14"/>
    <w:rsid w:val="00611B83"/>
    <w:rsid w:val="00612173"/>
    <w:rsid w:val="00613257"/>
    <w:rsid w:val="00620A71"/>
    <w:rsid w:val="00620D80"/>
    <w:rsid w:val="006234A6"/>
    <w:rsid w:val="00623923"/>
    <w:rsid w:val="00630001"/>
    <w:rsid w:val="006311B3"/>
    <w:rsid w:val="00631F81"/>
    <w:rsid w:val="0063284C"/>
    <w:rsid w:val="0063339E"/>
    <w:rsid w:val="00636398"/>
    <w:rsid w:val="006368D3"/>
    <w:rsid w:val="006377EC"/>
    <w:rsid w:val="0064151F"/>
    <w:rsid w:val="00641533"/>
    <w:rsid w:val="00641D36"/>
    <w:rsid w:val="0064208D"/>
    <w:rsid w:val="00643475"/>
    <w:rsid w:val="0064396A"/>
    <w:rsid w:val="00645491"/>
    <w:rsid w:val="0064624E"/>
    <w:rsid w:val="00650AB9"/>
    <w:rsid w:val="00655733"/>
    <w:rsid w:val="00655ACD"/>
    <w:rsid w:val="00656207"/>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6474"/>
    <w:rsid w:val="006771F9"/>
    <w:rsid w:val="006776D7"/>
    <w:rsid w:val="00681003"/>
    <w:rsid w:val="006817C9"/>
    <w:rsid w:val="00683ECE"/>
    <w:rsid w:val="00695FC2"/>
    <w:rsid w:val="00696949"/>
    <w:rsid w:val="00697052"/>
    <w:rsid w:val="006A46FB"/>
    <w:rsid w:val="006A5E28"/>
    <w:rsid w:val="006A697B"/>
    <w:rsid w:val="006A7AFF"/>
    <w:rsid w:val="006B0BB5"/>
    <w:rsid w:val="006B1816"/>
    <w:rsid w:val="006B2099"/>
    <w:rsid w:val="006B3309"/>
    <w:rsid w:val="006B50CF"/>
    <w:rsid w:val="006C03B8"/>
    <w:rsid w:val="006C5EC9"/>
    <w:rsid w:val="006C6059"/>
    <w:rsid w:val="006C7522"/>
    <w:rsid w:val="006D6F08"/>
    <w:rsid w:val="006E062C"/>
    <w:rsid w:val="006E28B7"/>
    <w:rsid w:val="006E3310"/>
    <w:rsid w:val="006E4E39"/>
    <w:rsid w:val="006E565E"/>
    <w:rsid w:val="006E673D"/>
    <w:rsid w:val="006E7D3B"/>
    <w:rsid w:val="006F0F8A"/>
    <w:rsid w:val="006F1B70"/>
    <w:rsid w:val="006F341D"/>
    <w:rsid w:val="006F3CDE"/>
    <w:rsid w:val="006F58D4"/>
    <w:rsid w:val="007006BE"/>
    <w:rsid w:val="0070346E"/>
    <w:rsid w:val="00704EDB"/>
    <w:rsid w:val="00706101"/>
    <w:rsid w:val="00707072"/>
    <w:rsid w:val="00707D61"/>
    <w:rsid w:val="00712287"/>
    <w:rsid w:val="00712772"/>
    <w:rsid w:val="007148D3"/>
    <w:rsid w:val="00715B9A"/>
    <w:rsid w:val="007160DF"/>
    <w:rsid w:val="00726EA6"/>
    <w:rsid w:val="00727208"/>
    <w:rsid w:val="00727680"/>
    <w:rsid w:val="00734400"/>
    <w:rsid w:val="007348B1"/>
    <w:rsid w:val="00735268"/>
    <w:rsid w:val="007362A6"/>
    <w:rsid w:val="00736D7D"/>
    <w:rsid w:val="00740E58"/>
    <w:rsid w:val="007445A0"/>
    <w:rsid w:val="0074524B"/>
    <w:rsid w:val="00747D8B"/>
    <w:rsid w:val="00751228"/>
    <w:rsid w:val="007571E1"/>
    <w:rsid w:val="007604B2"/>
    <w:rsid w:val="00765281"/>
    <w:rsid w:val="00766BAD"/>
    <w:rsid w:val="0076708C"/>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0A46"/>
    <w:rsid w:val="007E4610"/>
    <w:rsid w:val="007E4715"/>
    <w:rsid w:val="007E505B"/>
    <w:rsid w:val="007E7091"/>
    <w:rsid w:val="007E784D"/>
    <w:rsid w:val="008002A2"/>
    <w:rsid w:val="00801B9E"/>
    <w:rsid w:val="00803FAE"/>
    <w:rsid w:val="0080605F"/>
    <w:rsid w:val="00807786"/>
    <w:rsid w:val="00811FCB"/>
    <w:rsid w:val="008158D6"/>
    <w:rsid w:val="00817196"/>
    <w:rsid w:val="008235DB"/>
    <w:rsid w:val="00824AB4"/>
    <w:rsid w:val="00825C42"/>
    <w:rsid w:val="00825D25"/>
    <w:rsid w:val="00827D6F"/>
    <w:rsid w:val="008308E8"/>
    <w:rsid w:val="008376AC"/>
    <w:rsid w:val="008444E8"/>
    <w:rsid w:val="00844E80"/>
    <w:rsid w:val="00846FE7"/>
    <w:rsid w:val="00856911"/>
    <w:rsid w:val="008677FD"/>
    <w:rsid w:val="008700F7"/>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D74B4"/>
    <w:rsid w:val="008E065E"/>
    <w:rsid w:val="008E0927"/>
    <w:rsid w:val="008E153D"/>
    <w:rsid w:val="008E1909"/>
    <w:rsid w:val="008F1EAB"/>
    <w:rsid w:val="008F33DC"/>
    <w:rsid w:val="008F477F"/>
    <w:rsid w:val="008F523A"/>
    <w:rsid w:val="008F66DF"/>
    <w:rsid w:val="009009AB"/>
    <w:rsid w:val="00902350"/>
    <w:rsid w:val="0090336B"/>
    <w:rsid w:val="009053AA"/>
    <w:rsid w:val="00905B03"/>
    <w:rsid w:val="00906939"/>
    <w:rsid w:val="00910B7D"/>
    <w:rsid w:val="00911DFB"/>
    <w:rsid w:val="009139D9"/>
    <w:rsid w:val="00914AD8"/>
    <w:rsid w:val="00916079"/>
    <w:rsid w:val="00917CE9"/>
    <w:rsid w:val="00920BF2"/>
    <w:rsid w:val="00922010"/>
    <w:rsid w:val="00927915"/>
    <w:rsid w:val="00931BD9"/>
    <w:rsid w:val="0093523B"/>
    <w:rsid w:val="009368F3"/>
    <w:rsid w:val="00941636"/>
    <w:rsid w:val="00943742"/>
    <w:rsid w:val="00945C05"/>
    <w:rsid w:val="00946945"/>
    <w:rsid w:val="00947713"/>
    <w:rsid w:val="00950DE7"/>
    <w:rsid w:val="00953920"/>
    <w:rsid w:val="00953CAE"/>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1987"/>
    <w:rsid w:val="009A2BD6"/>
    <w:rsid w:val="009A462D"/>
    <w:rsid w:val="009A5CBA"/>
    <w:rsid w:val="009B1F30"/>
    <w:rsid w:val="009B3AC2"/>
    <w:rsid w:val="009B4DF4"/>
    <w:rsid w:val="009B564E"/>
    <w:rsid w:val="009B7E87"/>
    <w:rsid w:val="009C403E"/>
    <w:rsid w:val="009D28AD"/>
    <w:rsid w:val="009D4FF0"/>
    <w:rsid w:val="009D703C"/>
    <w:rsid w:val="009D718F"/>
    <w:rsid w:val="009E068F"/>
    <w:rsid w:val="009E14E0"/>
    <w:rsid w:val="009E35DB"/>
    <w:rsid w:val="009E47A3"/>
    <w:rsid w:val="009F08F3"/>
    <w:rsid w:val="009F1B06"/>
    <w:rsid w:val="009F344F"/>
    <w:rsid w:val="009F6797"/>
    <w:rsid w:val="009F7EC6"/>
    <w:rsid w:val="00A022EA"/>
    <w:rsid w:val="00A048A8"/>
    <w:rsid w:val="00A04F49"/>
    <w:rsid w:val="00A13E54"/>
    <w:rsid w:val="00A14603"/>
    <w:rsid w:val="00A17F63"/>
    <w:rsid w:val="00A2152A"/>
    <w:rsid w:val="00A2193B"/>
    <w:rsid w:val="00A2351A"/>
    <w:rsid w:val="00A264A9"/>
    <w:rsid w:val="00A27785"/>
    <w:rsid w:val="00A30187"/>
    <w:rsid w:val="00A31C10"/>
    <w:rsid w:val="00A32074"/>
    <w:rsid w:val="00A3448A"/>
    <w:rsid w:val="00A36297"/>
    <w:rsid w:val="00A3793A"/>
    <w:rsid w:val="00A41E2B"/>
    <w:rsid w:val="00A45B74"/>
    <w:rsid w:val="00A52E1D"/>
    <w:rsid w:val="00A61499"/>
    <w:rsid w:val="00A62A77"/>
    <w:rsid w:val="00A62B49"/>
    <w:rsid w:val="00A63483"/>
    <w:rsid w:val="00A657D7"/>
    <w:rsid w:val="00A660AC"/>
    <w:rsid w:val="00A67E6C"/>
    <w:rsid w:val="00A71B99"/>
    <w:rsid w:val="00A739D0"/>
    <w:rsid w:val="00A761D4"/>
    <w:rsid w:val="00A77EC4"/>
    <w:rsid w:val="00A80760"/>
    <w:rsid w:val="00A92879"/>
    <w:rsid w:val="00A93ACF"/>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1D0F"/>
    <w:rsid w:val="00AD3F94"/>
    <w:rsid w:val="00AD4A5A"/>
    <w:rsid w:val="00AE27AC"/>
    <w:rsid w:val="00AE40E0"/>
    <w:rsid w:val="00AE4DBA"/>
    <w:rsid w:val="00AE4F07"/>
    <w:rsid w:val="00AF1C5D"/>
    <w:rsid w:val="00AF42D7"/>
    <w:rsid w:val="00AF70B2"/>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2FAF"/>
    <w:rsid w:val="00B45A52"/>
    <w:rsid w:val="00B46175"/>
    <w:rsid w:val="00B664C7"/>
    <w:rsid w:val="00B739F6"/>
    <w:rsid w:val="00B81A6C"/>
    <w:rsid w:val="00B85DE5"/>
    <w:rsid w:val="00B90F73"/>
    <w:rsid w:val="00B93B59"/>
    <w:rsid w:val="00B9406A"/>
    <w:rsid w:val="00BA0154"/>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03DF"/>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4713E"/>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166D"/>
    <w:rsid w:val="00D0349B"/>
    <w:rsid w:val="00D10249"/>
    <w:rsid w:val="00D115C3"/>
    <w:rsid w:val="00D11897"/>
    <w:rsid w:val="00D13135"/>
    <w:rsid w:val="00D13E4E"/>
    <w:rsid w:val="00D239A7"/>
    <w:rsid w:val="00D23F47"/>
    <w:rsid w:val="00D32A9B"/>
    <w:rsid w:val="00D36E71"/>
    <w:rsid w:val="00D37D87"/>
    <w:rsid w:val="00D40B33"/>
    <w:rsid w:val="00D4318F"/>
    <w:rsid w:val="00D438BF"/>
    <w:rsid w:val="00D440F8"/>
    <w:rsid w:val="00D546FF"/>
    <w:rsid w:val="00D55AD5"/>
    <w:rsid w:val="00D576CA"/>
    <w:rsid w:val="00D61AF5"/>
    <w:rsid w:val="00D652B5"/>
    <w:rsid w:val="00D66155"/>
    <w:rsid w:val="00D708B0"/>
    <w:rsid w:val="00D70B55"/>
    <w:rsid w:val="00D766F9"/>
    <w:rsid w:val="00D77B1D"/>
    <w:rsid w:val="00D8021F"/>
    <w:rsid w:val="00D80383"/>
    <w:rsid w:val="00D823C6"/>
    <w:rsid w:val="00D86CA3"/>
    <w:rsid w:val="00D871CE"/>
    <w:rsid w:val="00D9196D"/>
    <w:rsid w:val="00D92982"/>
    <w:rsid w:val="00D95DF5"/>
    <w:rsid w:val="00DA305E"/>
    <w:rsid w:val="00DA5417"/>
    <w:rsid w:val="00DA56E8"/>
    <w:rsid w:val="00DB0A9F"/>
    <w:rsid w:val="00DB377D"/>
    <w:rsid w:val="00DB7277"/>
    <w:rsid w:val="00DC2D36"/>
    <w:rsid w:val="00DC53EF"/>
    <w:rsid w:val="00DE2527"/>
    <w:rsid w:val="00DE5608"/>
    <w:rsid w:val="00DE58D0"/>
    <w:rsid w:val="00DE654F"/>
    <w:rsid w:val="00DF0B6E"/>
    <w:rsid w:val="00DF15E0"/>
    <w:rsid w:val="00DF37A0"/>
    <w:rsid w:val="00E00660"/>
    <w:rsid w:val="00E110E7"/>
    <w:rsid w:val="00E11B20"/>
    <w:rsid w:val="00E15978"/>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951EC"/>
    <w:rsid w:val="00E9752B"/>
    <w:rsid w:val="00EA31E4"/>
    <w:rsid w:val="00EA7A41"/>
    <w:rsid w:val="00EB077B"/>
    <w:rsid w:val="00EB4EA2"/>
    <w:rsid w:val="00EC27C6"/>
    <w:rsid w:val="00EC4207"/>
    <w:rsid w:val="00EC5653"/>
    <w:rsid w:val="00EC71CE"/>
    <w:rsid w:val="00ED1006"/>
    <w:rsid w:val="00ED2AAD"/>
    <w:rsid w:val="00ED5880"/>
    <w:rsid w:val="00EF18FE"/>
    <w:rsid w:val="00EF3C81"/>
    <w:rsid w:val="00EF4221"/>
    <w:rsid w:val="00EF5787"/>
    <w:rsid w:val="00EF60D0"/>
    <w:rsid w:val="00F00C3F"/>
    <w:rsid w:val="00F0528D"/>
    <w:rsid w:val="00F06C67"/>
    <w:rsid w:val="00F06DFD"/>
    <w:rsid w:val="00F071D1"/>
    <w:rsid w:val="00F07533"/>
    <w:rsid w:val="00F10595"/>
    <w:rsid w:val="00F10629"/>
    <w:rsid w:val="00F15FA5"/>
    <w:rsid w:val="00F209B7"/>
    <w:rsid w:val="00F2376F"/>
    <w:rsid w:val="00F243D8"/>
    <w:rsid w:val="00F30828"/>
    <w:rsid w:val="00F313D6"/>
    <w:rsid w:val="00F40F0C"/>
    <w:rsid w:val="00F4766C"/>
    <w:rsid w:val="00F50548"/>
    <w:rsid w:val="00F507D1"/>
    <w:rsid w:val="00F519CE"/>
    <w:rsid w:val="00F51ADA"/>
    <w:rsid w:val="00F5344B"/>
    <w:rsid w:val="00F56091"/>
    <w:rsid w:val="00F607C5"/>
    <w:rsid w:val="00F60DEA"/>
    <w:rsid w:val="00F6302A"/>
    <w:rsid w:val="00F64C2B"/>
    <w:rsid w:val="00F651BE"/>
    <w:rsid w:val="00F67F53"/>
    <w:rsid w:val="00F703BE"/>
    <w:rsid w:val="00F71F69"/>
    <w:rsid w:val="00F72B72"/>
    <w:rsid w:val="00F74BB9"/>
    <w:rsid w:val="00F75582"/>
    <w:rsid w:val="00F7575B"/>
    <w:rsid w:val="00F76EFA"/>
    <w:rsid w:val="00F8033E"/>
    <w:rsid w:val="00F804BE"/>
    <w:rsid w:val="00F817CE"/>
    <w:rsid w:val="00F81AF6"/>
    <w:rsid w:val="00F8456C"/>
    <w:rsid w:val="00F848DD"/>
    <w:rsid w:val="00F84FB3"/>
    <w:rsid w:val="00F859D8"/>
    <w:rsid w:val="00F868F5"/>
    <w:rsid w:val="00F9056A"/>
    <w:rsid w:val="00F90F8D"/>
    <w:rsid w:val="00F92782"/>
    <w:rsid w:val="00F93AA9"/>
    <w:rsid w:val="00F96985"/>
    <w:rsid w:val="00F97838"/>
    <w:rsid w:val="00FA2BB3"/>
    <w:rsid w:val="00FB3B05"/>
    <w:rsid w:val="00FB4C80"/>
    <w:rsid w:val="00FB6A6A"/>
    <w:rsid w:val="00FC4E33"/>
    <w:rsid w:val="00FC7429"/>
    <w:rsid w:val="00FD07F6"/>
    <w:rsid w:val="00FD1EC8"/>
    <w:rsid w:val="00FD2354"/>
    <w:rsid w:val="00FD47ED"/>
    <w:rsid w:val="00FD74DB"/>
    <w:rsid w:val="00FD7660"/>
    <w:rsid w:val="00FE0655"/>
    <w:rsid w:val="00FE2365"/>
    <w:rsid w:val="00FE4C7B"/>
    <w:rsid w:val="00FE7336"/>
    <w:rsid w:val="00FE787C"/>
    <w:rsid w:val="00FF45A5"/>
    <w:rsid w:val="00FF5C91"/>
    <w:rsid w:val="00FF775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14:docId w14:val="5FCBB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CE0424"/>
    <w:rPr>
      <w:rFonts w:ascii="Arial" w:hAnsi="Arial" w:cs="Arial"/>
      <w:sz w:val="36"/>
      <w:szCs w:val="36"/>
      <w:lang w:val="en-GB"/>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24"/>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8"/>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paragraph" w:styleId="NormalWeb">
    <w:name w:val="Normal (Web)"/>
    <w:basedOn w:val="Normal"/>
    <w:uiPriority w:val="99"/>
    <w:unhideWhenUsed/>
    <w:rsid w:val="007160DF"/>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CE0424"/>
    <w:rPr>
      <w:rFonts w:ascii="Arial" w:hAnsi="Arial" w:cs="Arial"/>
      <w:sz w:val="36"/>
      <w:szCs w:val="36"/>
      <w:lang w:val="en-GB"/>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24"/>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8"/>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paragraph" w:styleId="NormalWeb">
    <w:name w:val="Normal (Web)"/>
    <w:basedOn w:val="Normal"/>
    <w:uiPriority w:val="99"/>
    <w:unhideWhenUsed/>
    <w:rsid w:val="007160DF"/>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3.png"/><Relationship Id="rId12" Type="http://schemas.openxmlformats.org/officeDocument/2006/relationships/image" Target="media/image4.emf"/><Relationship Id="rId13" Type="http://schemas.openxmlformats.org/officeDocument/2006/relationships/oleObject" Target="embeddings/Microsoft_Visio_2003-2010_Drawing11.vsd"/><Relationship Id="rId14" Type="http://schemas.openxmlformats.org/officeDocument/2006/relationships/hyperlink" Target="http://httparchive.org/trends.php" TargetMode="External"/><Relationship Id="rId15" Type="http://schemas.openxmlformats.org/officeDocument/2006/relationships/header" Target="header1.xml"/><Relationship Id="rId16" Type="http://schemas.openxmlformats.org/officeDocument/2006/relationships/footer" Target="footer1.xml"/><Relationship Id="rId17" Type="http://schemas.openxmlformats.org/officeDocument/2006/relationships/fontTable" Target="fontTable.xml"/><Relationship Id="rId1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png"/><Relationship Id="rId10"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4DF8FF-52B0-1C4A-A5BB-8DCE915DB9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\Data\SVN\swea\Swea-L23\RAN2_89_Athens\Ericsson Contributions\Ry-xxxxxx Contribution Template.dot</Template>
  <TotalTime>153</TotalTime>
  <Pages>4</Pages>
  <Words>1507</Words>
  <Characters>7054</Characters>
  <Application>Microsoft Macintosh Word</Application>
  <DocSecurity>0</DocSecurity>
  <Lines>133</Lines>
  <Paragraphs>71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8490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Ericsson User</cp:lastModifiedBy>
  <cp:revision>25</cp:revision>
  <cp:lastPrinted>2008-01-31T07:09:00Z</cp:lastPrinted>
  <dcterms:created xsi:type="dcterms:W3CDTF">2015-05-13T11:07:00Z</dcterms:created>
  <dcterms:modified xsi:type="dcterms:W3CDTF">2015-05-15T18:21:00Z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